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CE0219"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Default="00A87081" w:rsidP="00644675">
            <w:pPr>
              <w:rPr>
                <w:rFonts w:ascii="Verdana" w:hAnsi="Verdana" w:cs="Arial"/>
                <w:sz w:val="20"/>
              </w:rPr>
            </w:pPr>
            <w:r>
              <w:rPr>
                <w:rFonts w:ascii="Verdana" w:hAnsi="Verdana" w:cs="Arial"/>
                <w:sz w:val="20"/>
              </w:rPr>
              <w:t xml:space="preserve">SB14, </w:t>
            </w:r>
            <w:r w:rsidR="001148E5">
              <w:rPr>
                <w:rFonts w:ascii="Verdana" w:hAnsi="Verdana" w:cs="Arial"/>
                <w:sz w:val="20"/>
              </w:rPr>
              <w:t xml:space="preserve">SB24, </w:t>
            </w:r>
            <w:r w:rsidR="00F11F2D">
              <w:rPr>
                <w:rFonts w:ascii="Verdana" w:hAnsi="Verdana" w:cs="Arial"/>
                <w:sz w:val="20"/>
              </w:rPr>
              <w:t>KE2A,</w:t>
            </w:r>
          </w:p>
          <w:p w14:paraId="29E4C370" w14:textId="77777777" w:rsidR="00F11F2D" w:rsidRDefault="00F11F2D" w:rsidP="00644675">
            <w:pPr>
              <w:rPr>
                <w:rFonts w:ascii="Verdana" w:hAnsi="Verdana" w:cs="Arial"/>
                <w:sz w:val="20"/>
              </w:rPr>
            </w:pPr>
            <w:r>
              <w:rPr>
                <w:rFonts w:ascii="Verdana" w:hAnsi="Verdana" w:cs="Arial"/>
                <w:sz w:val="20"/>
              </w:rPr>
              <w:t>KE5,</w:t>
            </w:r>
          </w:p>
          <w:p w14:paraId="75F9CF8C" w14:textId="77777777" w:rsidR="00F11F2D" w:rsidRDefault="00F11F2D" w:rsidP="00644675">
            <w:pPr>
              <w:rPr>
                <w:rFonts w:ascii="Verdana" w:hAnsi="Verdana" w:cs="Arial"/>
                <w:sz w:val="20"/>
              </w:rPr>
            </w:pPr>
            <w:r>
              <w:rPr>
                <w:rFonts w:ascii="Verdana" w:hAnsi="Verdana" w:cs="Arial"/>
                <w:sz w:val="20"/>
              </w:rPr>
              <w:t>KE3C and</w:t>
            </w:r>
          </w:p>
          <w:p w14:paraId="57D395BC" w14:textId="7289CFD2" w:rsidR="00F11F2D" w:rsidRDefault="00F11F2D" w:rsidP="00644675">
            <w:pPr>
              <w:rPr>
                <w:rFonts w:ascii="Verdana" w:hAnsi="Verdana" w:cs="Arial"/>
                <w:sz w:val="20"/>
              </w:rPr>
            </w:pPr>
            <w:r>
              <w:rPr>
                <w:rFonts w:ascii="Verdana" w:hAnsi="Verdana" w:cs="Arial"/>
                <w:sz w:val="20"/>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Our other representations have set out our concerns regarding the legal compliance of the LPPU and the Council's compliance with the Duty to Co-operate (</w:t>
            </w:r>
            <w:proofErr w:type="spellStart"/>
            <w:r>
              <w:rPr>
                <w:rFonts w:ascii="Verdana" w:hAnsi="Verdana"/>
                <w:sz w:val="20"/>
                <w:szCs w:val="20"/>
              </w:rPr>
              <w:t>DtC</w:t>
            </w:r>
            <w:proofErr w:type="spellEnd"/>
            <w:r>
              <w:rPr>
                <w:rFonts w:ascii="Verdana" w:hAnsi="Verdana"/>
                <w:sz w:val="20"/>
                <w:szCs w:val="20"/>
              </w:rPr>
              <w:t xml:space="preserve">).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 xml:space="preserve">The identification of site allocations to address the housing supply is a sensible approach and so we have no concerns with the legal compliance of this approach or that this conflicts with the </w:t>
            </w:r>
            <w:proofErr w:type="spellStart"/>
            <w:r>
              <w:rPr>
                <w:rFonts w:ascii="Verdana" w:hAnsi="Verdana"/>
                <w:sz w:val="20"/>
                <w:szCs w:val="20"/>
              </w:rPr>
              <w:t>DtC</w:t>
            </w:r>
            <w:proofErr w:type="spellEnd"/>
            <w:r>
              <w:rPr>
                <w:rFonts w:ascii="Verdana" w:hAnsi="Verdana"/>
                <w:sz w:val="20"/>
                <w:szCs w:val="20"/>
              </w:rPr>
              <w:t>.</w:t>
            </w:r>
          </w:p>
          <w:p w14:paraId="67CE9796" w14:textId="7B9A45CE" w:rsidR="001148E5" w:rsidRDefault="001148E5" w:rsidP="00D36494">
            <w:pPr>
              <w:jc w:val="both"/>
              <w:rPr>
                <w:rFonts w:ascii="Verdana" w:hAnsi="Verdana"/>
                <w:sz w:val="20"/>
                <w:szCs w:val="20"/>
              </w:rPr>
            </w:pPr>
          </w:p>
          <w:p w14:paraId="6874FAC0" w14:textId="71899EFE" w:rsidR="001148E5" w:rsidRDefault="001148E5" w:rsidP="00D36494">
            <w:pPr>
              <w:jc w:val="both"/>
              <w:rPr>
                <w:rFonts w:ascii="Verdana" w:hAnsi="Verdana"/>
                <w:sz w:val="20"/>
                <w:szCs w:val="20"/>
              </w:rPr>
            </w:pPr>
            <w:r>
              <w:rPr>
                <w:rFonts w:ascii="Verdana" w:hAnsi="Verdana"/>
                <w:sz w:val="20"/>
                <w:szCs w:val="20"/>
              </w:rPr>
              <w:t xml:space="preserve">However, we have </w:t>
            </w:r>
            <w:proofErr w:type="gramStart"/>
            <w:r>
              <w:rPr>
                <w:rFonts w:ascii="Verdana" w:hAnsi="Verdana"/>
                <w:sz w:val="20"/>
                <w:szCs w:val="20"/>
              </w:rPr>
              <w:t>a number of</w:t>
            </w:r>
            <w:proofErr w:type="gramEnd"/>
            <w:r>
              <w:rPr>
                <w:rFonts w:ascii="Verdana" w:hAnsi="Verdana"/>
                <w:sz w:val="20"/>
                <w:szCs w:val="20"/>
              </w:rPr>
              <w:t xml:space="preserve"> concerns with the soundness of the site allocations that have been identified. Indeed, we are specifically concerned that </w:t>
            </w:r>
            <w:proofErr w:type="gramStart"/>
            <w:r>
              <w:rPr>
                <w:rFonts w:ascii="Verdana" w:hAnsi="Verdana"/>
                <w:sz w:val="20"/>
                <w:szCs w:val="20"/>
              </w:rPr>
              <w:t>the a</w:t>
            </w:r>
            <w:proofErr w:type="gramEnd"/>
            <w:r>
              <w:rPr>
                <w:rFonts w:ascii="Verdana" w:hAnsi="Verdana"/>
                <w:sz w:val="20"/>
                <w:szCs w:val="20"/>
              </w:rPr>
              <w:t xml:space="preserve">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04702CD3" w:rsidR="005E32E5" w:rsidRPr="005D742A" w:rsidRDefault="005E32E5" w:rsidP="005E32E5">
            <w:pPr>
              <w:jc w:val="both"/>
              <w:rPr>
                <w:rFonts w:ascii="Verdana" w:hAnsi="Verdana"/>
                <w:sz w:val="20"/>
                <w:szCs w:val="20"/>
              </w:rPr>
            </w:pPr>
            <w:proofErr w:type="gramStart"/>
            <w:r w:rsidRPr="005D742A">
              <w:rPr>
                <w:rFonts w:ascii="Verdana" w:hAnsi="Verdana"/>
                <w:sz w:val="20"/>
                <w:szCs w:val="20"/>
              </w:rPr>
              <w:t>In regards to</w:t>
            </w:r>
            <w:proofErr w:type="gramEnd"/>
            <w:r w:rsidRPr="005D742A">
              <w:rPr>
                <w:rFonts w:ascii="Verdana" w:hAnsi="Verdana"/>
                <w:sz w:val="20"/>
                <w:szCs w:val="20"/>
              </w:rPr>
              <w:t xml:space="preserve"> </w:t>
            </w:r>
            <w:r w:rsidRPr="005D742A">
              <w:rPr>
                <w:rFonts w:ascii="Verdana" w:hAnsi="Verdana"/>
                <w:b/>
                <w:bCs/>
                <w:sz w:val="20"/>
                <w:szCs w:val="20"/>
              </w:rPr>
              <w:t xml:space="preserve">Policy SB14 </w:t>
            </w:r>
            <w:proofErr w:type="spellStart"/>
            <w:r w:rsidRPr="005D742A">
              <w:rPr>
                <w:rFonts w:ascii="Verdana" w:hAnsi="Verdana"/>
                <w:b/>
                <w:bCs/>
                <w:sz w:val="20"/>
                <w:szCs w:val="20"/>
              </w:rPr>
              <w:t>Twerton</w:t>
            </w:r>
            <w:proofErr w:type="spellEnd"/>
            <w:r w:rsidRPr="005D742A">
              <w:rPr>
                <w:rFonts w:ascii="Verdana" w:hAnsi="Verdana"/>
                <w:b/>
                <w:bCs/>
                <w:sz w:val="20"/>
                <w:szCs w:val="20"/>
              </w:rPr>
              <w:t xml:space="preserve"> Park (Bath City Football Club),</w:t>
            </w:r>
            <w:r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Pr="005D742A">
              <w:rPr>
                <w:rFonts w:ascii="Verdana" w:hAnsi="Verdana"/>
                <w:sz w:val="20"/>
                <w:szCs w:val="20"/>
                <w:shd w:val="clear" w:color="auto" w:fill="FFFFFF"/>
              </w:rPr>
              <w:t xml:space="preserve"> </w:t>
            </w:r>
            <w:r w:rsidRPr="005D742A">
              <w:rPr>
                <w:rFonts w:ascii="Verdana" w:hAnsi="Verdana"/>
                <w:sz w:val="20"/>
                <w:szCs w:val="20"/>
              </w:rPr>
              <w:t xml:space="preserve">area, harm to residential amenity and lack of parking. </w:t>
            </w:r>
            <w:r w:rsidR="00A9128D">
              <w:rPr>
                <w:rFonts w:ascii="Verdana" w:hAnsi="Verdana"/>
                <w:sz w:val="20"/>
                <w:szCs w:val="20"/>
              </w:rPr>
              <w:t>W</w:t>
            </w:r>
            <w:r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Pr="005D742A">
              <w:rPr>
                <w:rFonts w:ascii="Verdana" w:hAnsi="Verdana"/>
                <w:sz w:val="20"/>
                <w:szCs w:val="20"/>
              </w:rPr>
              <w:t>his site has already been allocat</w:t>
            </w:r>
            <w:r w:rsidR="00A9128D">
              <w:rPr>
                <w:rFonts w:ascii="Verdana" w:hAnsi="Verdana"/>
                <w:sz w:val="20"/>
                <w:szCs w:val="20"/>
              </w:rPr>
              <w:t>ed</w:t>
            </w:r>
            <w:r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Policy 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xml:space="preserve">, the site has known archaeological deposits and there are </w:t>
            </w:r>
            <w:proofErr w:type="gramStart"/>
            <w:r w:rsidR="005E32E5" w:rsidRPr="005D742A">
              <w:rPr>
                <w:rFonts w:ascii="Verdana" w:hAnsi="Verdana"/>
                <w:sz w:val="20"/>
                <w:szCs w:val="20"/>
              </w:rPr>
              <w:t>a number of</w:t>
            </w:r>
            <w:proofErr w:type="gramEnd"/>
            <w:r w:rsidR="005E32E5" w:rsidRPr="005D742A">
              <w:rPr>
                <w:rFonts w:ascii="Verdana" w:hAnsi="Verdana"/>
                <w:sz w:val="20"/>
                <w:szCs w:val="20"/>
              </w:rPr>
              <w:t xml:space="preserve">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KE2a)</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proofErr w:type="gramStart"/>
            <w:r w:rsidRPr="005D742A">
              <w:rPr>
                <w:rFonts w:ascii="Verdana" w:hAnsi="Verdana"/>
                <w:sz w:val="20"/>
                <w:szCs w:val="20"/>
              </w:rPr>
              <w:t>In regard to</w:t>
            </w:r>
            <w:proofErr w:type="gramEnd"/>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KE5)</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Safeguarded Land at Keynsham (Policies KE3C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6715ACDC"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C56F55" w:rsidRPr="005D742A">
              <w:rPr>
                <w:rFonts w:ascii="Verdana" w:hAnsi="Verdana"/>
                <w:sz w:val="20"/>
                <w:szCs w:val="20"/>
              </w:rPr>
              <w:t xml:space="preserve"> The site allocations identified in the plan would deliver around 330 additional dwellings</w:t>
            </w:r>
            <w:r w:rsidR="003D5138" w:rsidRPr="005D742A">
              <w:rPr>
                <w:rFonts w:ascii="Verdana" w:hAnsi="Verdana"/>
                <w:sz w:val="20"/>
                <w:szCs w:val="20"/>
              </w:rPr>
              <w:t>. This is ignoring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6A8A08CF" w:rsidR="00C56F55" w:rsidRPr="005D742A" w:rsidRDefault="00C56F55" w:rsidP="00D36494">
            <w:pPr>
              <w:jc w:val="both"/>
              <w:rPr>
                <w:rFonts w:ascii="Verdana" w:hAnsi="Verdana"/>
                <w:sz w:val="20"/>
                <w:szCs w:val="20"/>
              </w:rPr>
            </w:pPr>
            <w:r w:rsidRPr="005D742A">
              <w:rPr>
                <w:rFonts w:ascii="Verdana" w:hAnsi="Verdana"/>
                <w:sz w:val="20"/>
                <w:szCs w:val="20"/>
              </w:rPr>
              <w:t>The</w:t>
            </w:r>
            <w:r w:rsidR="003D5138" w:rsidRPr="005D742A">
              <w:rPr>
                <w:rFonts w:ascii="Verdana" w:hAnsi="Verdana"/>
                <w:sz w:val="20"/>
                <w:szCs w:val="20"/>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Pr>
                <w:rFonts w:ascii="Verdana" w:hAnsi="Verdana"/>
                <w:sz w:val="20"/>
                <w:szCs w:val="20"/>
              </w:rPr>
              <w:t>should</w:t>
            </w:r>
            <w:r w:rsidR="003D5138" w:rsidRPr="005D742A">
              <w:rPr>
                <w:rFonts w:ascii="Verdana" w:hAnsi="Verdana"/>
                <w:sz w:val="20"/>
                <w:szCs w:val="20"/>
              </w:rPr>
              <w:t xml:space="preserve"> only</w:t>
            </w:r>
            <w:r w:rsidR="00260285">
              <w:rPr>
                <w:rFonts w:ascii="Verdana" w:hAnsi="Verdana"/>
                <w:sz w:val="20"/>
                <w:szCs w:val="20"/>
              </w:rPr>
              <w:t xml:space="preserve"> be</w:t>
            </w:r>
            <w:r w:rsidR="003D5138" w:rsidRPr="005D742A">
              <w:rPr>
                <w:rFonts w:ascii="Verdana" w:hAnsi="Verdana"/>
                <w:sz w:val="20"/>
                <w:szCs w:val="20"/>
              </w:rPr>
              <w:t xml:space="preserve"> in so far as technical matters allow. The scale of development proposed at Keynsham would likely lead to severe impacts on the local transport network, regardless of whether the proposed mitigation measures were implemented or not.</w:t>
            </w:r>
          </w:p>
          <w:p w14:paraId="52E521A6" w14:textId="3B48C010" w:rsidR="003D5138" w:rsidRPr="005D742A" w:rsidRDefault="003D5138" w:rsidP="00D36494">
            <w:pPr>
              <w:jc w:val="both"/>
              <w:rPr>
                <w:rFonts w:ascii="Verdana" w:hAnsi="Verdana"/>
                <w:sz w:val="20"/>
                <w:szCs w:val="20"/>
              </w:rPr>
            </w:pPr>
          </w:p>
          <w:p w14:paraId="4A1887E8" w14:textId="20993A0A" w:rsidR="009751A2" w:rsidRPr="005D742A" w:rsidRDefault="009751A2" w:rsidP="00D36494">
            <w:pPr>
              <w:jc w:val="both"/>
              <w:rPr>
                <w:rFonts w:ascii="Verdana" w:hAnsi="Verdana"/>
                <w:sz w:val="20"/>
                <w:szCs w:val="20"/>
              </w:rPr>
            </w:pPr>
            <w:r w:rsidRPr="005D742A">
              <w:rPr>
                <w:rFonts w:ascii="Verdana" w:hAnsi="Verdana"/>
                <w:sz w:val="20"/>
                <w:szCs w:val="20"/>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Pr>
                <w:rFonts w:ascii="Verdana" w:hAnsi="Verdana"/>
                <w:sz w:val="20"/>
                <w:szCs w:val="20"/>
              </w:rPr>
              <w:t>annum (</w:t>
            </w:r>
            <w:proofErr w:type="spellStart"/>
            <w:r w:rsidR="00260285">
              <w:rPr>
                <w:rFonts w:ascii="Verdana" w:hAnsi="Verdana"/>
                <w:sz w:val="20"/>
                <w:szCs w:val="20"/>
              </w:rPr>
              <w:t>dpa</w:t>
            </w:r>
            <w:proofErr w:type="spellEnd"/>
            <w:r w:rsidR="00260285">
              <w:rPr>
                <w:rFonts w:ascii="Verdana" w:hAnsi="Verdana"/>
                <w:sz w:val="20"/>
                <w:szCs w:val="20"/>
              </w:rPr>
              <w:t>)</w:t>
            </w:r>
            <w:r w:rsidRPr="005D742A">
              <w:rPr>
                <w:rFonts w:ascii="Verdana" w:hAnsi="Verdana"/>
                <w:sz w:val="20"/>
                <w:szCs w:val="20"/>
              </w:rPr>
              <w:t xml:space="preserve"> (Housing Trajectory March 2021). </w:t>
            </w:r>
          </w:p>
          <w:p w14:paraId="4DC4DBB7" w14:textId="142DD240" w:rsidR="009751A2" w:rsidRPr="005D742A" w:rsidRDefault="009751A2" w:rsidP="00D36494">
            <w:pPr>
              <w:jc w:val="both"/>
              <w:rPr>
                <w:rFonts w:ascii="Verdana" w:hAnsi="Verdana"/>
                <w:sz w:val="20"/>
                <w:szCs w:val="20"/>
              </w:rPr>
            </w:pPr>
          </w:p>
          <w:p w14:paraId="3CE7AD3A" w14:textId="3EA3DDF0" w:rsidR="009751A2" w:rsidRDefault="009751A2" w:rsidP="00D36494">
            <w:pPr>
              <w:jc w:val="both"/>
              <w:rPr>
                <w:rFonts w:ascii="Verdana" w:hAnsi="Verdana"/>
                <w:sz w:val="20"/>
                <w:szCs w:val="20"/>
              </w:rPr>
            </w:pPr>
            <w:r w:rsidRPr="005D742A">
              <w:rPr>
                <w:rFonts w:ascii="Verdana" w:hAnsi="Verdana"/>
                <w:sz w:val="20"/>
                <w:szCs w:val="20"/>
              </w:rPr>
              <w:t>Assuming a rate of 60dpa was achieved, detailed permission for both sites would need to have been achieved and all conditions discharged by 202</w:t>
            </w:r>
            <w:r w:rsidR="0090072D" w:rsidRPr="005D742A">
              <w:rPr>
                <w:rFonts w:ascii="Verdana" w:hAnsi="Verdana"/>
                <w:sz w:val="20"/>
                <w:szCs w:val="20"/>
              </w:rPr>
              <w:t>3</w:t>
            </w:r>
            <w:r w:rsidRPr="005D742A">
              <w:rPr>
                <w:rFonts w:ascii="Verdana" w:hAnsi="Verdana"/>
                <w:sz w:val="20"/>
                <w:szCs w:val="20"/>
              </w:rPr>
              <w:t>/2</w:t>
            </w:r>
            <w:r w:rsidR="0090072D" w:rsidRPr="005D742A">
              <w:rPr>
                <w:rFonts w:ascii="Verdana" w:hAnsi="Verdana"/>
                <w:sz w:val="20"/>
                <w:szCs w:val="20"/>
              </w:rPr>
              <w:t>4</w:t>
            </w:r>
            <w:r w:rsidRPr="005D742A">
              <w:rPr>
                <w:rFonts w:ascii="Verdana" w:hAnsi="Verdana"/>
                <w:sz w:val="20"/>
                <w:szCs w:val="20"/>
              </w:rPr>
              <w:t xml:space="preserve"> to be confident that </w:t>
            </w:r>
            <w:r w:rsidR="00260285">
              <w:rPr>
                <w:rFonts w:ascii="Verdana" w:hAnsi="Verdana"/>
                <w:sz w:val="20"/>
                <w:szCs w:val="20"/>
              </w:rPr>
              <w:t>first</w:t>
            </w:r>
            <w:r w:rsidRPr="005D742A">
              <w:rPr>
                <w:rFonts w:ascii="Verdana" w:hAnsi="Verdana"/>
                <w:sz w:val="20"/>
                <w:szCs w:val="20"/>
              </w:rPr>
              <w:t xml:space="preserve"> </w:t>
            </w:r>
            <w:r w:rsidR="0090072D" w:rsidRPr="005D742A">
              <w:rPr>
                <w:rFonts w:ascii="Verdana" w:hAnsi="Verdana"/>
                <w:sz w:val="20"/>
                <w:szCs w:val="20"/>
              </w:rPr>
              <w:t>completions would start in 2024/25</w:t>
            </w:r>
            <w:r w:rsidR="00260285">
              <w:rPr>
                <w:rFonts w:ascii="Verdana" w:hAnsi="Verdana"/>
                <w:sz w:val="20"/>
                <w:szCs w:val="20"/>
              </w:rPr>
              <w:t xml:space="preserve">, thus allowing the site to deliver in </w:t>
            </w:r>
            <w:r w:rsidRPr="005D742A">
              <w:rPr>
                <w:rFonts w:ascii="Verdana" w:hAnsi="Verdana"/>
                <w:sz w:val="20"/>
                <w:szCs w:val="20"/>
              </w:rPr>
              <w:t>full before the end of the plan period. We would expect to see evidence presented at the examination in public (</w:t>
            </w:r>
            <w:proofErr w:type="spellStart"/>
            <w:r w:rsidRPr="005D742A">
              <w:rPr>
                <w:rFonts w:ascii="Verdana" w:hAnsi="Verdana"/>
                <w:sz w:val="20"/>
                <w:szCs w:val="20"/>
              </w:rPr>
              <w:t>EiP</w:t>
            </w:r>
            <w:proofErr w:type="spellEnd"/>
            <w:r w:rsidRPr="005D742A">
              <w:rPr>
                <w:rFonts w:ascii="Verdana" w:hAnsi="Verdana"/>
                <w:sz w:val="20"/>
                <w:szCs w:val="20"/>
              </w:rPr>
              <w:t>) to provide sufficient confidence that these sites could be delivered in time.</w:t>
            </w:r>
          </w:p>
          <w:p w14:paraId="2F860499" w14:textId="436B3534" w:rsidR="00260285" w:rsidRDefault="00260285" w:rsidP="00D36494">
            <w:pPr>
              <w:jc w:val="both"/>
              <w:rPr>
                <w:rFonts w:ascii="Verdana" w:hAnsi="Verdana"/>
                <w:sz w:val="20"/>
                <w:szCs w:val="20"/>
              </w:rPr>
            </w:pPr>
          </w:p>
          <w:p w14:paraId="02E4DAA5" w14:textId="20A49BBF" w:rsidR="00260285" w:rsidRPr="005D742A" w:rsidRDefault="00260285" w:rsidP="00D36494">
            <w:pPr>
              <w:jc w:val="both"/>
              <w:rPr>
                <w:rFonts w:ascii="Verdana" w:hAnsi="Verdana"/>
                <w:sz w:val="20"/>
                <w:szCs w:val="20"/>
              </w:rPr>
            </w:pPr>
            <w:r w:rsidRPr="005D742A">
              <w:rPr>
                <w:rFonts w:ascii="Verdana" w:hAnsi="Verdana"/>
                <w:sz w:val="20"/>
                <w:szCs w:val="20"/>
              </w:rPr>
              <w:t xml:space="preserve">Furthermore, the development of up to 300 homes would be reliant on the delivery of the </w:t>
            </w:r>
            <w:proofErr w:type="gramStart"/>
            <w:r w:rsidRPr="005D742A">
              <w:rPr>
                <w:rFonts w:ascii="Verdana" w:hAnsi="Verdana"/>
                <w:sz w:val="20"/>
                <w:szCs w:val="20"/>
              </w:rPr>
              <w:t>aforementioned infrastructure</w:t>
            </w:r>
            <w:proofErr w:type="gramEnd"/>
            <w:r w:rsidRPr="005D742A">
              <w:rPr>
                <w:rFonts w:ascii="Verdana" w:hAnsi="Verdana"/>
                <w:sz w:val="20"/>
                <w:szCs w:val="20"/>
              </w:rPr>
              <w:t xml:space="preserv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5BD897B2" w14:textId="1F40773C" w:rsidR="0090072D" w:rsidRPr="005D742A" w:rsidRDefault="0090072D" w:rsidP="00D36494">
            <w:pPr>
              <w:jc w:val="both"/>
              <w:rPr>
                <w:rFonts w:ascii="Verdana" w:hAnsi="Verdana"/>
                <w:sz w:val="20"/>
                <w:szCs w:val="20"/>
              </w:rPr>
            </w:pPr>
          </w:p>
          <w:p w14:paraId="072AFE09" w14:textId="028EC0F9" w:rsidR="0090072D" w:rsidRPr="005D742A" w:rsidRDefault="00163952" w:rsidP="00D36494">
            <w:pPr>
              <w:jc w:val="both"/>
              <w:rPr>
                <w:rFonts w:ascii="Verdana" w:hAnsi="Verdana"/>
                <w:sz w:val="20"/>
                <w:szCs w:val="20"/>
              </w:rPr>
            </w:pPr>
            <w:r w:rsidRPr="005D742A">
              <w:rPr>
                <w:rFonts w:ascii="Verdana" w:hAnsi="Verdana"/>
                <w:sz w:val="20"/>
                <w:szCs w:val="20"/>
              </w:rPr>
              <w:t xml:space="preserve">In short, even assuming that the latest transport work is robust, the LPPU both over-allocates housing </w:t>
            </w:r>
            <w:r w:rsidR="00260285">
              <w:rPr>
                <w:rFonts w:ascii="Verdana" w:hAnsi="Verdana"/>
                <w:sz w:val="20"/>
                <w:szCs w:val="20"/>
              </w:rPr>
              <w:t xml:space="preserve">at Keynsham </w:t>
            </w:r>
            <w:r w:rsidRPr="005D742A">
              <w:rPr>
                <w:rFonts w:ascii="Verdana" w:hAnsi="Verdana"/>
                <w:sz w:val="20"/>
                <w:szCs w:val="20"/>
              </w:rPr>
              <w:t>and fails to provide assurances that it</w:t>
            </w:r>
            <w:r w:rsidR="00260285">
              <w:rPr>
                <w:rFonts w:ascii="Verdana" w:hAnsi="Verdana"/>
                <w:sz w:val="20"/>
                <w:szCs w:val="20"/>
              </w:rPr>
              <w:t>s site allocations</w:t>
            </w:r>
            <w:r w:rsidRPr="005D742A">
              <w:rPr>
                <w:rFonts w:ascii="Verdana" w:hAnsi="Verdana"/>
                <w:sz w:val="20"/>
                <w:szCs w:val="20"/>
              </w:rPr>
              <w:t xml:space="preserve"> will all be delivered within the plan period.</w:t>
            </w:r>
            <w:r w:rsidR="00260285">
              <w:rPr>
                <w:rFonts w:ascii="Verdana" w:hAnsi="Verdana"/>
                <w:sz w:val="20"/>
                <w:szCs w:val="20"/>
              </w:rPr>
              <w:t xml:space="preserve"> There are, therefore, issues of soundness associated with the plan.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w:t>
            </w:r>
            <w:proofErr w:type="gramStart"/>
            <w:r>
              <w:rPr>
                <w:rFonts w:ascii="Verdana" w:hAnsi="Verdana"/>
                <w:sz w:val="20"/>
                <w:szCs w:val="20"/>
              </w:rPr>
              <w:t>is considered to be</w:t>
            </w:r>
            <w:proofErr w:type="gramEnd"/>
            <w:r>
              <w:rPr>
                <w:rFonts w:ascii="Verdana" w:hAnsi="Verdana"/>
                <w:sz w:val="20"/>
                <w:szCs w:val="20"/>
              </w:rPr>
              <w:t xml:space="preserve"> inadequate in terms of maintaining the Council's HLS position over the remainder of the plan period. </w:t>
            </w:r>
            <w:r w:rsidR="00163952" w:rsidRPr="005D742A">
              <w:rPr>
                <w:rFonts w:ascii="Verdana" w:hAnsi="Verdana"/>
                <w:sz w:val="20"/>
                <w:szCs w:val="20"/>
              </w:rPr>
              <w:t xml:space="preserve">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w:t>
            </w:r>
            <w:proofErr w:type="gramStart"/>
            <w:r w:rsidR="00163952" w:rsidRPr="005D742A">
              <w:rPr>
                <w:rFonts w:ascii="Verdana" w:hAnsi="Verdana"/>
                <w:sz w:val="20"/>
                <w:szCs w:val="20"/>
              </w:rPr>
              <w:t>so as to</w:t>
            </w:r>
            <w:proofErr w:type="gramEnd"/>
            <w:r w:rsidR="00163952" w:rsidRPr="005D742A">
              <w:rPr>
                <w:rFonts w:ascii="Verdana" w:hAnsi="Verdana"/>
                <w:sz w:val="20"/>
                <w:szCs w:val="20"/>
              </w:rPr>
              <w:t xml:space="preserve">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lastRenderedPageBreak/>
              <w:t>Finally</w:t>
            </w:r>
            <w:r w:rsidR="005E32E5" w:rsidRPr="005D742A">
              <w:rPr>
                <w:rFonts w:ascii="Verdana" w:hAnsi="Verdana"/>
                <w:sz w:val="20"/>
                <w:szCs w:val="20"/>
              </w:rPr>
              <w:t xml:space="preserve">,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w:t>
            </w:r>
            <w:proofErr w:type="gramStart"/>
            <w:r w:rsidR="005E32E5" w:rsidRPr="005D742A">
              <w:rPr>
                <w:rFonts w:ascii="Verdana" w:hAnsi="Verdana"/>
                <w:sz w:val="20"/>
                <w:szCs w:val="20"/>
              </w:rPr>
              <w:t>aforementioned transport</w:t>
            </w:r>
            <w:proofErr w:type="gramEnd"/>
            <w:r w:rsidR="005E32E5" w:rsidRPr="005D742A">
              <w:rPr>
                <w:rFonts w:ascii="Verdana" w:hAnsi="Verdana"/>
                <w:sz w:val="20"/>
                <w:szCs w:val="20"/>
              </w:rPr>
              <w:t xml:space="preserve">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26D7629E" w14:textId="7005841D" w:rsidR="005860F0" w:rsidRPr="005D742A" w:rsidRDefault="005860F0" w:rsidP="00D36494">
            <w:pPr>
              <w:jc w:val="both"/>
              <w:rPr>
                <w:rFonts w:ascii="Verdana" w:hAnsi="Verdana"/>
                <w:sz w:val="20"/>
                <w:szCs w:val="20"/>
              </w:rPr>
            </w:pPr>
            <w:r w:rsidRPr="005D742A">
              <w:rPr>
                <w:rFonts w:ascii="Verdana" w:hAnsi="Verdana"/>
                <w:sz w:val="20"/>
                <w:szCs w:val="20"/>
              </w:rPr>
              <w:t xml:space="preserve">The Council is aware of Edward Ware's portfolio of sites within </w:t>
            </w:r>
            <w:proofErr w:type="spellStart"/>
            <w:r w:rsidRPr="005D742A">
              <w:rPr>
                <w:rFonts w:ascii="Verdana" w:hAnsi="Verdana"/>
                <w:sz w:val="20"/>
                <w:szCs w:val="20"/>
              </w:rPr>
              <w:t>BaNES</w:t>
            </w:r>
            <w:proofErr w:type="spellEnd"/>
            <w:r w:rsidRPr="005D742A">
              <w:rPr>
                <w:rFonts w:ascii="Verdana" w:hAnsi="Verdana"/>
                <w:sz w:val="20"/>
                <w:szCs w:val="20"/>
              </w:rPr>
              <w:t xml:space="preserve">, all of which are available, </w:t>
            </w:r>
            <w:proofErr w:type="gramStart"/>
            <w:r w:rsidRPr="005D742A">
              <w:rPr>
                <w:rFonts w:ascii="Verdana" w:hAnsi="Verdana"/>
                <w:sz w:val="20"/>
                <w:szCs w:val="20"/>
              </w:rPr>
              <w:t>suitable</w:t>
            </w:r>
            <w:proofErr w:type="gramEnd"/>
            <w:r w:rsidRPr="005D742A">
              <w:rPr>
                <w:rFonts w:ascii="Verdana" w:hAnsi="Verdana"/>
                <w:sz w:val="20"/>
                <w:szCs w:val="20"/>
              </w:rPr>
              <w:t xml:space="preserve"> and capable of making a meaningful contribution to the housing requirement over the remainder of the plan period.  </w:t>
            </w:r>
          </w:p>
          <w:p w14:paraId="3EE08DBB" w14:textId="77777777" w:rsidR="009751A2" w:rsidRPr="005D742A" w:rsidRDefault="009751A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0D24E0A4" w:rsidR="004D2783" w:rsidRDefault="004D2783" w:rsidP="004D2783">
            <w:pPr>
              <w:jc w:val="both"/>
              <w:rPr>
                <w:rFonts w:ascii="Verdana" w:hAnsi="Verdana"/>
                <w:sz w:val="20"/>
                <w:szCs w:val="20"/>
              </w:rPr>
            </w:pPr>
            <w:r w:rsidRPr="005D742A">
              <w:rPr>
                <w:rFonts w:ascii="Verdana" w:hAnsi="Verdana"/>
                <w:sz w:val="20"/>
                <w:szCs w:val="20"/>
              </w:rPr>
              <w:t>The Council will either need look to the Radstock/Midsomer Norton as the third most sustainable location for additional sites. Depending on the availability of appropriate and available sites capable of delivering housing over the remaining years of the plan period, the Council may need to review the rural villages such as High Littleton, Paulton and Bishops Sutton for additional land to meet housing needs.</w:t>
            </w:r>
          </w:p>
          <w:p w14:paraId="2C23D930" w14:textId="77777777" w:rsidR="00260285" w:rsidRPr="005D742A" w:rsidRDefault="00260285" w:rsidP="00260285">
            <w:pPr>
              <w:jc w:val="both"/>
              <w:rPr>
                <w:rFonts w:ascii="Verdana" w:hAnsi="Verdana"/>
                <w:sz w:val="20"/>
                <w:szCs w:val="20"/>
              </w:rPr>
            </w:pPr>
          </w:p>
          <w:p w14:paraId="38AFAB24" w14:textId="03243A80" w:rsidR="00AE2F13" w:rsidRPr="004D4D67" w:rsidRDefault="00260285" w:rsidP="004D4D67">
            <w:pPr>
              <w:jc w:val="both"/>
              <w:rPr>
                <w:rFonts w:ascii="Verdana" w:hAnsi="Verdana"/>
                <w:sz w:val="20"/>
                <w:szCs w:val="20"/>
              </w:rPr>
            </w:pPr>
            <w:proofErr w:type="gramStart"/>
            <w:r>
              <w:rPr>
                <w:rFonts w:ascii="Verdana" w:hAnsi="Verdana"/>
                <w:sz w:val="20"/>
                <w:szCs w:val="20"/>
              </w:rPr>
              <w:t>A number of</w:t>
            </w:r>
            <w:proofErr w:type="gramEnd"/>
            <w:r>
              <w:rPr>
                <w:rFonts w:ascii="Verdana" w:hAnsi="Verdana"/>
                <w:sz w:val="20"/>
                <w:szCs w:val="20"/>
              </w:rPr>
              <w:t xml:space="preserve"> policies (DW1, KE1, KE2, KE3C, KE3D, KE5, SB14 and SB24) as well as their supporting paragraphs w</w:t>
            </w:r>
            <w:r w:rsidRPr="005D742A">
              <w:rPr>
                <w:rFonts w:ascii="Verdana" w:hAnsi="Verdana"/>
                <w:sz w:val="20"/>
                <w:szCs w:val="20"/>
              </w:rPr>
              <w:t xml:space="preserve">ill need to be updated accordingly as well should </w:t>
            </w:r>
            <w:r>
              <w:rPr>
                <w:rFonts w:ascii="Verdana" w:hAnsi="Verdana"/>
                <w:sz w:val="20"/>
                <w:szCs w:val="20"/>
              </w:rPr>
              <w:t>any of these</w:t>
            </w:r>
            <w:r w:rsidRPr="005D742A">
              <w:rPr>
                <w:rFonts w:ascii="Verdana" w:hAnsi="Verdana"/>
                <w:sz w:val="20"/>
                <w:szCs w:val="20"/>
              </w:rPr>
              <w:t xml:space="preserve"> sites be removed from the plan.</w:t>
            </w: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ACF1" w14:textId="77777777" w:rsidR="006A5675" w:rsidRDefault="006A5675" w:rsidP="00D36494">
      <w:r>
        <w:separator/>
      </w:r>
    </w:p>
  </w:endnote>
  <w:endnote w:type="continuationSeparator" w:id="0">
    <w:p w14:paraId="6AC914AB" w14:textId="77777777" w:rsidR="006A5675" w:rsidRDefault="006A5675"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94AD" w14:textId="77777777" w:rsidR="006A5675" w:rsidRDefault="006A5675" w:rsidP="00D36494">
      <w:r>
        <w:separator/>
      </w:r>
    </w:p>
  </w:footnote>
  <w:footnote w:type="continuationSeparator" w:id="0">
    <w:p w14:paraId="2103AAA2" w14:textId="77777777" w:rsidR="006A5675" w:rsidRDefault="006A5675"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63FB4"/>
    <w:rsid w:val="0008110A"/>
    <w:rsid w:val="0008207C"/>
    <w:rsid w:val="000C5213"/>
    <w:rsid w:val="00102938"/>
    <w:rsid w:val="001148E5"/>
    <w:rsid w:val="00163952"/>
    <w:rsid w:val="001D6951"/>
    <w:rsid w:val="00260285"/>
    <w:rsid w:val="00310A19"/>
    <w:rsid w:val="00327E3D"/>
    <w:rsid w:val="00346587"/>
    <w:rsid w:val="003529DC"/>
    <w:rsid w:val="003D5138"/>
    <w:rsid w:val="00403AA6"/>
    <w:rsid w:val="004D2783"/>
    <w:rsid w:val="004D4D67"/>
    <w:rsid w:val="004F2BAE"/>
    <w:rsid w:val="00525B1A"/>
    <w:rsid w:val="00542BD7"/>
    <w:rsid w:val="005860F0"/>
    <w:rsid w:val="005A3F3A"/>
    <w:rsid w:val="005D742A"/>
    <w:rsid w:val="005E1948"/>
    <w:rsid w:val="005E32E5"/>
    <w:rsid w:val="005E5626"/>
    <w:rsid w:val="006213DD"/>
    <w:rsid w:val="006A5675"/>
    <w:rsid w:val="006D1340"/>
    <w:rsid w:val="00761F32"/>
    <w:rsid w:val="00773C4F"/>
    <w:rsid w:val="00833496"/>
    <w:rsid w:val="00863B4E"/>
    <w:rsid w:val="00880A5F"/>
    <w:rsid w:val="0090072D"/>
    <w:rsid w:val="009751A2"/>
    <w:rsid w:val="00A4592D"/>
    <w:rsid w:val="00A87081"/>
    <w:rsid w:val="00A9128D"/>
    <w:rsid w:val="00AC78D2"/>
    <w:rsid w:val="00AE2F13"/>
    <w:rsid w:val="00B81560"/>
    <w:rsid w:val="00C01FB7"/>
    <w:rsid w:val="00C56F55"/>
    <w:rsid w:val="00C67D18"/>
    <w:rsid w:val="00CE0219"/>
    <w:rsid w:val="00D36494"/>
    <w:rsid w:val="00D7436E"/>
    <w:rsid w:val="00DD42BF"/>
    <w:rsid w:val="00DE0303"/>
    <w:rsid w:val="00EB28D2"/>
    <w:rsid w:val="00EC0818"/>
    <w:rsid w:val="00F11F2D"/>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889DD-08B6-4169-820E-A7DB7853B20B}">
  <ds:schemaRefs>
    <ds:schemaRef ds:uri="http://schemas.openxmlformats.org/officeDocument/2006/bibliography"/>
  </ds:schemaRefs>
</ds:datastoreItem>
</file>

<file path=customXml/itemProps2.xml><?xml version="1.0" encoding="utf-8"?>
<ds:datastoreItem xmlns:ds="http://schemas.openxmlformats.org/officeDocument/2006/customXml" ds:itemID="{DEEE2F2C-3E6B-4634-ADE2-56B9758B6167}"/>
</file>

<file path=customXml/itemProps3.xml><?xml version="1.0" encoding="utf-8"?>
<ds:datastoreItem xmlns:ds="http://schemas.openxmlformats.org/officeDocument/2006/customXml" ds:itemID="{9B2B934B-6B71-4BC9-94D1-9EF997471E1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13582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2</cp:revision>
  <dcterms:created xsi:type="dcterms:W3CDTF">2021-10-07T11:34:00Z</dcterms:created>
  <dcterms:modified xsi:type="dcterms:W3CDTF">2021-10-07T11:34:00Z</dcterms:modified>
</cp:coreProperties>
</file>