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Local Plan Partial Update Consultation :A response from members of Chew Valley Area Forum Climate &amp; Nature Emergency Working Group</w:t>
      </w:r>
    </w:p>
    <w:p w:rsidR="00000000" w:rsidDel="00000000" w:rsidP="00000000" w:rsidRDefault="00000000" w:rsidRPr="00000000" w14:paraId="00000002">
      <w:pP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rPr>
      </w:pPr>
      <w:r w:rsidDel="00000000" w:rsidR="00000000" w:rsidRPr="00000000">
        <w:rPr>
          <w:rFonts w:ascii="Verdana" w:cs="Verdana" w:eastAsia="Verdana" w:hAnsi="Verdana"/>
          <w:b w:val="1"/>
          <w:rtl w:val="0"/>
        </w:rPr>
        <w:t xml:space="preserve">Context</w:t>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We are a working Group of the Chew Valley Area Forum which has been running for 12 months. We are made up of members from the following 12 Parishes in the Chew Valley &amp; surrounding areas: Chew Magna, Chew Stoke, Compton Dando, Compton Martin, Clutton, East Harptree, Hinton Blewett, Publow &amp; Pensford, Stanton Drew, Sutton Stowey, Ubley, West Harptree. Our members include Parish Councillors, members of Parish Climate &amp; Nature Emergency working Groups and other individuals interested to work on our key goal of reducing the carbon footprint of the Chew Valley.</w:t>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We have been working on this challenging brief within 4 topic sub-groups: Home Energy, Nature Protection, Renewable Energy &amp; Sustainable Transport so our responses have been written by each subgroup and are combined here.</w:t>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These responses do not necessarily reflect the views of Parish Councils in this area (though they may do, where members of the Parish Council are present in the group) as there has been insufficient time to consult with each Parish in this way, however, they do come from the considered thoughts of individuals who have been thinking about these issues in a focus way over the last year.</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Practicalities of making a response</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We have struggled to know how to respond to this consultation as the forms on the website are quite prescriptive and there is a mass of information to try to understand and respond to. We have done our best but perhaps one piece of feedback would be to try to make future consultations a bit more user friendly.</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rPr>
      </w:pPr>
      <w:r w:rsidDel="00000000" w:rsidR="00000000" w:rsidRPr="00000000">
        <w:rPr>
          <w:rFonts w:ascii="Verdana" w:cs="Verdana" w:eastAsia="Verdana" w:hAnsi="Verdana"/>
          <w:b w:val="1"/>
          <w:rtl w:val="0"/>
        </w:rPr>
        <w:t xml:space="preserve">General Overview Response</w:t>
      </w:r>
    </w:p>
    <w:p w:rsidR="00000000" w:rsidDel="00000000" w:rsidP="00000000" w:rsidRDefault="00000000" w:rsidRPr="00000000" w14:paraId="0000000E">
      <w:pPr>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We welcome these updates of the Local Plan to facilitate a quicker transition to carbon neutrality, and have already identified the lack of planning policy and guidance as one of the barriers to facilitating transition. </w:t>
      </w:r>
    </w:p>
    <w:p w:rsidR="00000000" w:rsidDel="00000000" w:rsidP="00000000" w:rsidRDefault="00000000" w:rsidRPr="00000000" w14:paraId="00000010">
      <w:pPr>
        <w:rPr>
          <w:rFonts w:ascii="Verdana" w:cs="Verdana" w:eastAsia="Verdana" w:hAnsi="Verdana"/>
        </w:rPr>
      </w:pPr>
      <w:r w:rsidDel="00000000" w:rsidR="00000000" w:rsidRPr="00000000">
        <w:rPr>
          <w:rtl w:val="0"/>
        </w:rPr>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We are not, with any authority, able to comment on whether specific areas are ‘legally compliant’, ‘sound’, or ‘compliant with your duty of care’ but would like to make some more general comments which may be helpful, in particular, when thinking about the broader update of the </w:t>
      </w:r>
      <w:r w:rsidDel="00000000" w:rsidR="00000000" w:rsidRPr="00000000">
        <w:rPr>
          <w:rFonts w:ascii="Verdana" w:cs="Verdana" w:eastAsia="Verdana" w:hAnsi="Verdana"/>
          <w:rtl w:val="0"/>
        </w:rPr>
        <w:t xml:space="preserve">spacial</w:t>
      </w:r>
      <w:r w:rsidDel="00000000" w:rsidR="00000000" w:rsidRPr="00000000">
        <w:rPr>
          <w:rFonts w:ascii="Verdana" w:cs="Verdana" w:eastAsia="Verdana" w:hAnsi="Verdana"/>
          <w:rtl w:val="0"/>
        </w:rPr>
        <w:t xml:space="preserve"> plan over the coming years.</w:t>
      </w:r>
    </w:p>
    <w:p w:rsidR="00000000" w:rsidDel="00000000" w:rsidP="00000000" w:rsidRDefault="00000000" w:rsidRPr="00000000" w14:paraId="00000012">
      <w:pPr>
        <w:rPr>
          <w:rFonts w:ascii="Verdana" w:cs="Verdana" w:eastAsia="Verdana" w:hAnsi="Verdana"/>
        </w:rPr>
      </w:pP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We applaud the vision of a lower carbon footprint for B&amp;NES and can see how the updates in the local plan will be significantly helpful to Parish Councillors in commenting on planning applications and on planners in their decision making, particularly in terms of new developments.</w:t>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We note that by creating separate Supplementary Documents for specific areas there may be some development that provides contradictory advice. For instance lighting provisions for cycling and walking routes might impact dark skies initiatives. It would be helpful if the planning authority could offer advice on the appropriate resolution of these issues.</w:t>
      </w: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tl w:val="0"/>
        </w:rPr>
      </w:r>
    </w:p>
    <w:p w:rsidR="00000000" w:rsidDel="00000000" w:rsidP="00000000" w:rsidRDefault="00000000" w:rsidRPr="00000000" w14:paraId="00000017">
      <w:pPr>
        <w:rPr>
          <w:rFonts w:ascii="Verdana" w:cs="Verdana" w:eastAsia="Verdana" w:hAnsi="Verdana"/>
        </w:rPr>
      </w:pP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We note that much of the plan is concerned with, and angled towards the city and urban context, and feel, in terms of rural areas, such as the Chew Valley, a more radical envisioning of the future is needed, coupled with the financial backing to make this transition possible. </w:t>
      </w:r>
    </w:p>
    <w:p w:rsidR="00000000" w:rsidDel="00000000" w:rsidP="00000000" w:rsidRDefault="00000000" w:rsidRPr="00000000" w14:paraId="00000019">
      <w:pPr>
        <w:rPr>
          <w:rFonts w:ascii="Verdana" w:cs="Verdana" w:eastAsia="Verdana" w:hAnsi="Verdana"/>
        </w:rPr>
      </w:pPr>
      <w:r w:rsidDel="00000000" w:rsidR="00000000" w:rsidRPr="00000000">
        <w:rPr>
          <w:rtl w:val="0"/>
        </w:rPr>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As a group we have carried out a cross Parish Survey about Sustainable Transport which shows how much infrastructure and resource is required to make it possible for individuals to make a shift to lower carbon methods of transport, and we would commend this to you for consideration as it has implications for planning (provision of electric charging points etc…) as well as other areas.</w:t>
      </w:r>
    </w:p>
    <w:p w:rsidR="00000000" w:rsidDel="00000000" w:rsidP="00000000" w:rsidRDefault="00000000" w:rsidRPr="00000000" w14:paraId="0000001B">
      <w:pPr>
        <w:rPr>
          <w:rFonts w:ascii="Verdana" w:cs="Verdana" w:eastAsia="Verdana" w:hAnsi="Verdana"/>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The proposed measures in total and across B&amp;NES are helpful in moving toward net zero carbon by 2030. However "net" is the key and effort and it appears that resources will be directed to urban areas where the biggest carbon reduction can be achieved for money spent. This will result in rural areas being disadvantaged as we will not benefit from green initiatives. It therefore seems unlikely that the ideas put forward in the Supplementary Planning Documents will deliver carbon neutrality in rural areas by 2030.</w:t>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Our main plea is to not forget the particular challenges facing rural communities, where stronger guidance in policy would assist local decision making.</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color w:val="222222"/>
        </w:rPr>
      </w:pPr>
      <w:r w:rsidDel="00000000" w:rsidR="00000000" w:rsidRPr="00000000">
        <w:rPr>
          <w:rFonts w:ascii="Verdana" w:cs="Verdana" w:eastAsia="Verdana" w:hAnsi="Verdana"/>
          <w:rtl w:val="0"/>
        </w:rPr>
        <w:t xml:space="preserve">Here are some further comments from our different subgroups:</w:t>
      </w: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rPr>
      </w:pPr>
      <w:r w:rsidDel="00000000" w:rsidR="00000000" w:rsidRPr="00000000">
        <w:rPr>
          <w:rFonts w:ascii="Verdana" w:cs="Verdana" w:eastAsia="Verdana" w:hAnsi="Verdana"/>
          <w:b w:val="1"/>
          <w:rtl w:val="0"/>
        </w:rPr>
        <w:t xml:space="preserve">Home Energy: </w:t>
      </w:r>
    </w:p>
    <w:p w:rsidR="00000000" w:rsidDel="00000000" w:rsidP="00000000" w:rsidRDefault="00000000" w:rsidRPr="00000000" w14:paraId="00000023">
      <w:pPr>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As a homeowner the SPG aims to support people in BANES to make homes more energy efficient, with less of an impact on the Climate Emergency. It provides useful guidance on adding improvements to existing buildings to make them more environmentally friendly.</w:t>
      </w:r>
    </w:p>
    <w:p w:rsidR="00000000" w:rsidDel="00000000" w:rsidP="00000000" w:rsidRDefault="00000000" w:rsidRPr="00000000" w14:paraId="00000025">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document starts with a The Quick Wins List offers cheap or free tips to help make your home more environmentally friendly. This includes wasting less energy, using less water and saving and recycling more water. All of this is useful.</w:t>
      </w:r>
    </w:p>
    <w:p w:rsidR="00000000" w:rsidDel="00000000" w:rsidP="00000000" w:rsidRDefault="00000000" w:rsidRPr="00000000" w14:paraId="00000027">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section gives a list of a wide range of retrofitting options to improve the energy efficiency of your home, plus sustainable construction guidelines. There is a useful and comprehensive list of retrofitting measures.</w:t>
      </w:r>
    </w:p>
    <w:p w:rsidR="00000000" w:rsidDel="00000000" w:rsidP="00000000" w:rsidRDefault="00000000" w:rsidRPr="00000000" w14:paraId="00000029">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Under Summary table: Retrofitting measures and their impact provides a useful guide to indicative cost as low/medium/high is provided, together with the likely environmental impact and any consents that may be needed. This is extremely helpful.</w:t>
      </w:r>
    </w:p>
    <w:p w:rsidR="00000000" w:rsidDel="00000000" w:rsidP="00000000" w:rsidRDefault="00000000" w:rsidRPr="00000000" w14:paraId="0000002B">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‘Cut down unnecessary energy use’ with its series of quick, simple tips provided that will reduce your energy use, such as drying washing outside and not using a tumble dryer, install an energy meter so you can see exactly how much energy you are using and the simple action of wearing more layers inside the house when it is cold outside, rather than putting on the heating are all simple actions that most people will be able to do.</w:t>
      </w:r>
    </w:p>
    <w:p w:rsidR="00000000" w:rsidDel="00000000" w:rsidP="00000000" w:rsidRDefault="00000000" w:rsidRPr="00000000" w14:paraId="0000002D">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Save and recycle water section shows simple ways to cut your water usage by re-using waste water (such as use water from a condensing tumble drier for washing the car, watering plants or cleaning.) seemed helpful for its simple descriptions of what to do from the tubed vent. Use a water butt and </w:t>
      </w:r>
    </w:p>
    <w:p w:rsidR="00000000" w:rsidDel="00000000" w:rsidP="00000000" w:rsidRDefault="00000000" w:rsidRPr="00000000" w14:paraId="0000002F">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‘Useful resources’ section is helpful if links remain up to date. Overall the list of options addressed is both extensive and comprehensive, making available practical advice that provides homeowners with a useful starting point when considering what to do to improve the energy efficiency of their home. It is suggested that readers visit these links and have a look at what advice is available to help decide what can be done in your home to reduce your energy use.</w:t>
      </w:r>
    </w:p>
    <w:p w:rsidR="00000000" w:rsidDel="00000000" w:rsidP="00000000" w:rsidRDefault="00000000" w:rsidRPr="00000000" w14:paraId="00000031">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The withdrawal of the Green Homes Grant and its poor operation when it was in place, has seriously slowed the retrofitting of housing stock in our area. In our rural villages there are pockets of deprivation where increased insulation would make significant inroads in reducing poverty as well as reducing the carbon footprint of homes. However, local people may not be aware of what is available to them and need these policy changes, supportive grants and access to information to make the necessary changes. Changes in the planning framework may be one way that this information can be disseminated.</w:t>
      </w:r>
    </w:p>
    <w:p w:rsidR="00000000" w:rsidDel="00000000" w:rsidP="00000000" w:rsidRDefault="00000000" w:rsidRPr="00000000" w14:paraId="00000033">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A balance needs to be struck between the need to protect the character of local areas in the Chew Valley with the pragmatic need to retrofit properties and make use of roofs for solar panels and a conversation about the importance of this shift in energy consumption needs to be begun in every parish, sparked by B&amp;NES in its explanation of planning changes. We would commend the protection of heritage but also note that the essential character of buildings will not be protected if global warming is not halted: as one of our members noted ‘there is no use for heritage sites on a dead planet’.</w:t>
      </w:r>
    </w:p>
    <w:p w:rsidR="00000000" w:rsidDel="00000000" w:rsidP="00000000" w:rsidRDefault="00000000" w:rsidRPr="00000000" w14:paraId="00000035">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We welcome the challenges set by the LPPU: Policy SCR6 calls for all new build housing to be designed to match projected total energy use with on-site renewably generated electricity (preference solar) - does this mean that sufficient solar panels / battery storage need to be fitted to meet average winter daily energy demand? Or is it on an annual generation average?</w:t>
      </w:r>
    </w:p>
    <w:p w:rsidR="00000000" w:rsidDel="00000000" w:rsidP="00000000" w:rsidRDefault="00000000" w:rsidRPr="00000000" w14:paraId="00000037">
      <w:pPr>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Verdana" w:cs="Verdana" w:eastAsia="Verdana" w:hAnsi="Verdana"/>
          <w:color w:val="222222"/>
          <w:highlight w:val="white"/>
          <w:u w:val="none"/>
        </w:rPr>
      </w:pPr>
      <w:r w:rsidDel="00000000" w:rsidR="00000000" w:rsidRPr="00000000">
        <w:rPr>
          <w:rFonts w:ascii="Verdana" w:cs="Verdana" w:eastAsia="Verdana" w:hAnsi="Verdana"/>
          <w:color w:val="222222"/>
          <w:highlight w:val="white"/>
          <w:rtl w:val="0"/>
        </w:rPr>
        <w:t xml:space="preserve">Overall we would say well done B&amp;NES for this useful supportive document</w:t>
      </w:r>
    </w:p>
    <w:p w:rsidR="00000000" w:rsidDel="00000000" w:rsidP="00000000" w:rsidRDefault="00000000" w:rsidRPr="00000000" w14:paraId="00000039">
      <w:pPr>
        <w:rPr>
          <w:rFonts w:ascii="Verdana" w:cs="Verdana" w:eastAsia="Verdana" w:hAnsi="Verdana"/>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Fonts w:ascii="Verdana" w:cs="Verdana" w:eastAsia="Verdana" w:hAnsi="Verdana"/>
          <w:b w:val="1"/>
          <w:rtl w:val="0"/>
        </w:rPr>
        <w:t xml:space="preserve">Nature Protection:</w:t>
      </w:r>
      <w:r w:rsidDel="00000000" w:rsidR="00000000" w:rsidRPr="00000000">
        <w:rPr>
          <w:rFonts w:ascii="Verdana" w:cs="Verdana" w:eastAsia="Verdana" w:hAnsi="Verdana"/>
          <w:rtl w:val="0"/>
        </w:rPr>
        <w:t xml:space="preserve"> </w:t>
      </w:r>
    </w:p>
    <w:p w:rsidR="00000000" w:rsidDel="00000000" w:rsidP="00000000" w:rsidRDefault="00000000" w:rsidRPr="00000000" w14:paraId="0000003B">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We note that the Chew Valley includes valuable habitat and ANOB.</w:t>
      </w:r>
    </w:p>
    <w:p w:rsidR="00000000" w:rsidDel="00000000" w:rsidP="00000000" w:rsidRDefault="00000000" w:rsidRPr="00000000" w14:paraId="0000003E">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Farming and business operations working long hours or 24 hours in a rural context can have significant impact on dark skies and on the tranquility of these special areas, and the absence of planning protection </w:t>
      </w:r>
      <w:r w:rsidDel="00000000" w:rsidR="00000000" w:rsidRPr="00000000">
        <w:rPr>
          <w:rFonts w:ascii="Verdana" w:cs="Verdana" w:eastAsia="Verdana" w:hAnsi="Verdana"/>
          <w:i w:val="1"/>
          <w:rtl w:val="0"/>
        </w:rPr>
        <w:t xml:space="preserve">thus far</w:t>
      </w:r>
      <w:r w:rsidDel="00000000" w:rsidR="00000000" w:rsidRPr="00000000">
        <w:rPr>
          <w:rFonts w:ascii="Verdana" w:cs="Verdana" w:eastAsia="Verdana" w:hAnsi="Verdana"/>
          <w:rtl w:val="0"/>
        </w:rPr>
        <w:t xml:space="preserve"> means that the </w:t>
      </w:r>
      <w:r w:rsidDel="00000000" w:rsidR="00000000" w:rsidRPr="00000000">
        <w:rPr>
          <w:rFonts w:ascii="Verdana" w:cs="Verdana" w:eastAsia="Verdana" w:hAnsi="Verdana"/>
          <w:i w:val="1"/>
          <w:rtl w:val="0"/>
        </w:rPr>
        <w:t xml:space="preserve">existing </w:t>
      </w:r>
      <w:r w:rsidDel="00000000" w:rsidR="00000000" w:rsidRPr="00000000">
        <w:rPr>
          <w:rFonts w:ascii="Verdana" w:cs="Verdana" w:eastAsia="Verdana" w:hAnsi="Verdana"/>
          <w:rtl w:val="0"/>
        </w:rPr>
        <w:t xml:space="preserve">situation is far from ideal</w:t>
      </w:r>
      <w:r w:rsidDel="00000000" w:rsidR="00000000" w:rsidRPr="00000000">
        <w:rPr>
          <w:rFonts w:ascii="Verdana" w:cs="Verdana" w:eastAsia="Verdana" w:hAnsi="Verdana"/>
          <w:rtl w:val="0"/>
        </w:rPr>
        <w:t xml:space="preserve">. Permitted development changes argue from a poor initial baseline such as ‘it's only a few more lights on the land’ making it hard for parish councils to resist further losses to dark skies.</w:t>
      </w:r>
    </w:p>
    <w:p w:rsidR="00000000" w:rsidDel="00000000" w:rsidP="00000000" w:rsidRDefault="00000000" w:rsidRPr="00000000" w14:paraId="00000040">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‘lighting must be designed to protect wildlife habitats following current best practice”. Our own view is that the council should consider the differing needs or impacts, in rural communities, which might consider the extent to which rural villages need street lighting. Many move to the countryside to enjoy dark skies and are frustrated that new development encroaches on this.</w:t>
      </w:r>
    </w:p>
    <w:p w:rsidR="00000000" w:rsidDel="00000000" w:rsidP="00000000" w:rsidRDefault="00000000" w:rsidRPr="00000000" w14:paraId="00000042">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3">
      <w:pPr>
        <w:numPr>
          <w:ilvl w:val="0"/>
          <w:numId w:val="2"/>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and welcome that ‘development resulting in significant harm to biodiversity’ will not be permitted. Guidance is needed to Parishes to help them understand the meaning of ‘significant harm’ in this regard.</w:t>
      </w:r>
    </w:p>
    <w:p w:rsidR="00000000" w:rsidDel="00000000" w:rsidP="00000000" w:rsidRDefault="00000000" w:rsidRPr="00000000" w14:paraId="00000044">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45">
      <w:pPr>
        <w:numPr>
          <w:ilvl w:val="0"/>
          <w:numId w:val="2"/>
        </w:numPr>
        <w:shd w:fill="ffffff" w:val="clear"/>
        <w:spacing w:after="160"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highlight w:val="white"/>
          <w:rtl w:val="0"/>
        </w:rPr>
        <w:t xml:space="preserve">There is some specific reference to 10% biodiversity net gain and multifunctional net gain in the update and we welcome this. We feel it is important to recognise that the law does not count replacement of habitats as equal to retention of existing habitats. In rural areas particular attention needs to be paid to existing biodiversity and the possible negative impact on overall green infrastructure such as permissive paths, wildlife corridors </w:t>
      </w:r>
      <w:r w:rsidDel="00000000" w:rsidR="00000000" w:rsidRPr="00000000">
        <w:rPr>
          <w:rtl w:val="0"/>
        </w:rPr>
      </w:r>
    </w:p>
    <w:p w:rsidR="00000000" w:rsidDel="00000000" w:rsidP="00000000" w:rsidRDefault="00000000" w:rsidRPr="00000000" w14:paraId="00000046">
      <w:pPr>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7">
      <w:pPr>
        <w:numPr>
          <w:ilvl w:val="0"/>
          <w:numId w:val="2"/>
        </w:numPr>
        <w:shd w:fill="ffffff" w:val="clear"/>
        <w:spacing w:after="160"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rtl w:val="0"/>
        </w:rPr>
        <w:t xml:space="preserve">Replacement of habitats is not a strong trade off against losing them. Thus adding in some trees or water courses as part of a development should not be seen as comparable to removing them initially. A greater emphasis on protection of existing biodiversity would be welcomed. </w:t>
      </w:r>
    </w:p>
    <w:p w:rsidR="00000000" w:rsidDel="00000000" w:rsidP="00000000" w:rsidRDefault="00000000" w:rsidRPr="00000000" w14:paraId="00000048">
      <w:pPr>
        <w:shd w:fill="ffffff" w:val="clear"/>
        <w:spacing w:after="160"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9">
      <w:pPr>
        <w:numPr>
          <w:ilvl w:val="0"/>
          <w:numId w:val="2"/>
        </w:numPr>
        <w:spacing w:line="240" w:lineRule="auto"/>
        <w:ind w:left="720" w:hanging="360"/>
        <w:rPr>
          <w:rFonts w:ascii="Verdana" w:cs="Verdana" w:eastAsia="Verdana" w:hAnsi="Verdana"/>
          <w:color w:val="222222"/>
        </w:rPr>
      </w:pPr>
      <w:r w:rsidDel="00000000" w:rsidR="00000000" w:rsidRPr="00000000">
        <w:rPr>
          <w:rFonts w:ascii="Verdana" w:cs="Verdana" w:eastAsia="Verdana" w:hAnsi="Verdana"/>
          <w:rtl w:val="0"/>
        </w:rPr>
        <w:t xml:space="preserve">We welcome the intention to ‘to protect wildlife and habitats enabling residents to benefit from a green nature rich environment’ . We welcome the mention of ‘bat sustenance zones’ and ‘avoiding loss of hedgerows and woodland connectivity’ but believe Parishes need detailed guidance as to how this can be achieved.</w:t>
      </w:r>
    </w:p>
    <w:p w:rsidR="00000000" w:rsidDel="00000000" w:rsidP="00000000" w:rsidRDefault="00000000" w:rsidRPr="00000000" w14:paraId="0000004A">
      <w:pPr>
        <w:shd w:fill="ffffff" w:val="clear"/>
        <w:spacing w:after="160"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B">
      <w:pPr>
        <w:numPr>
          <w:ilvl w:val="0"/>
          <w:numId w:val="2"/>
        </w:numPr>
        <w:shd w:fill="ffffff" w:val="clear"/>
        <w:spacing w:line="254.40054545454552" w:lineRule="auto"/>
        <w:ind w:left="720" w:hanging="360"/>
        <w:rPr>
          <w:rFonts w:ascii="Verdana" w:cs="Verdana" w:eastAsia="Verdana" w:hAnsi="Verdana"/>
        </w:rPr>
      </w:pPr>
      <w:r w:rsidDel="00000000" w:rsidR="00000000" w:rsidRPr="00000000">
        <w:rPr>
          <w:rFonts w:ascii="Verdana" w:cs="Verdana" w:eastAsia="Verdana" w:hAnsi="Verdana"/>
          <w:color w:val="222222"/>
          <w:rtl w:val="0"/>
        </w:rPr>
        <w:t xml:space="preserve">The impact of development on any specific site is mentioned but each site developed will affect a wider geography so we believe this needs to be explicitly considered in any planning edits to protect the spatial impact.</w:t>
      </w:r>
    </w:p>
    <w:p w:rsidR="00000000" w:rsidDel="00000000" w:rsidP="00000000" w:rsidRDefault="00000000" w:rsidRPr="00000000" w14:paraId="0000004C">
      <w:pPr>
        <w:shd w:fill="ffffff" w:val="clear"/>
        <w:spacing w:line="254.40054545454552" w:lineRule="auto"/>
        <w:ind w:left="720" w:firstLine="0"/>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4D">
      <w:pPr>
        <w:numPr>
          <w:ilvl w:val="0"/>
          <w:numId w:val="2"/>
        </w:numPr>
        <w:shd w:fill="ffffff" w:val="clear"/>
        <w:spacing w:line="254.40054545454552" w:lineRule="auto"/>
        <w:ind w:left="720" w:hanging="360"/>
        <w:rPr>
          <w:rFonts w:ascii="Verdana" w:cs="Verdana" w:eastAsia="Verdana" w:hAnsi="Verdana"/>
          <w:color w:val="222222"/>
        </w:rPr>
      </w:pPr>
      <w:r w:rsidDel="00000000" w:rsidR="00000000" w:rsidRPr="00000000">
        <w:rPr>
          <w:rFonts w:ascii="Verdana" w:cs="Verdana" w:eastAsia="Verdana" w:hAnsi="Verdana"/>
          <w:color w:val="222222"/>
          <w:highlight w:val="white"/>
          <w:rtl w:val="0"/>
        </w:rPr>
        <w:t xml:space="preserve">We noticed in one of the documents (sustainability appraisal scoring), the score includes "well lit spaces" in its "design out crime" . However excess lighting is something to be avoided in rural areas if we want to encourage healthy wildlife habitats and dark skies. This lighting also uses power and high colour temperature which can have a far greater adverse effect on moth populations than low colour temperature ones.</w:t>
      </w:r>
    </w:p>
    <w:p w:rsidR="00000000" w:rsidDel="00000000" w:rsidP="00000000" w:rsidRDefault="00000000" w:rsidRPr="00000000" w14:paraId="0000004E">
      <w:pPr>
        <w:shd w:fill="ffffff" w:val="clear"/>
        <w:spacing w:line="254.40054545454552" w:lineRule="auto"/>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4F">
      <w:pPr>
        <w:numPr>
          <w:ilvl w:val="0"/>
          <w:numId w:val="2"/>
        </w:numPr>
        <w:shd w:fill="ffffff" w:val="clear"/>
        <w:spacing w:line="254.40054545454552"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The LPPU states “new building development damage is permanent ….” we note that in rural areas the impacts are likely to be greater given the impact on dark skies, nocturnal wildlife, the extent of hedgerows lost and the spatial impact of a development on the landscape </w:t>
      </w:r>
    </w:p>
    <w:p w:rsidR="00000000" w:rsidDel="00000000" w:rsidP="00000000" w:rsidRDefault="00000000" w:rsidRPr="00000000" w14:paraId="00000050">
      <w:pPr>
        <w:shd w:fill="ffffff" w:val="clear"/>
        <w:spacing w:line="254.40054545454552" w:lineRule="auto"/>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51">
      <w:pPr>
        <w:rPr>
          <w:rFonts w:ascii="Verdana" w:cs="Verdana" w:eastAsia="Verdana" w:hAnsi="Verdana"/>
        </w:rPr>
      </w:pPr>
      <w:r w:rsidDel="00000000" w:rsidR="00000000" w:rsidRPr="00000000">
        <w:rPr>
          <w:rtl w:val="0"/>
        </w:rPr>
      </w:r>
    </w:p>
    <w:p w:rsidR="00000000" w:rsidDel="00000000" w:rsidP="00000000" w:rsidRDefault="00000000" w:rsidRPr="00000000" w14:paraId="00000052">
      <w:pPr>
        <w:rPr>
          <w:rFonts w:ascii="Verdana" w:cs="Verdana" w:eastAsia="Verdana" w:hAnsi="Verdana"/>
          <w:b w:val="1"/>
        </w:rPr>
      </w:pPr>
      <w:r w:rsidDel="00000000" w:rsidR="00000000" w:rsidRPr="00000000">
        <w:rPr>
          <w:rFonts w:ascii="Verdana" w:cs="Verdana" w:eastAsia="Verdana" w:hAnsi="Verdana"/>
          <w:b w:val="1"/>
          <w:rtl w:val="0"/>
        </w:rPr>
        <w:t xml:space="preserve">Renewable Energy: </w:t>
      </w:r>
    </w:p>
    <w:p w:rsidR="00000000" w:rsidDel="00000000" w:rsidP="00000000" w:rsidRDefault="00000000" w:rsidRPr="00000000" w14:paraId="00000053">
      <w:pPr>
        <w:rPr>
          <w:rFonts w:ascii="Verdana" w:cs="Verdana" w:eastAsia="Verdana" w:hAnsi="Verdana"/>
          <w:b w:val="1"/>
        </w:rPr>
      </w:pPr>
      <w:r w:rsidDel="00000000" w:rsidR="00000000" w:rsidRPr="00000000">
        <w:rPr>
          <w:rtl w:val="0"/>
        </w:rPr>
      </w:r>
    </w:p>
    <w:p w:rsidR="00000000" w:rsidDel="00000000" w:rsidP="00000000" w:rsidRDefault="00000000" w:rsidRPr="00000000" w14:paraId="00000054">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As so little renewable energy has come forward in rural areas thus far local councils meet resistance within communities without a full understanding of its implications. There is concern that rural areas will be overwhelmed by development, but at the same time a keen interest in renewable energy use for community benefit is evident from others. Within our cross Parish group we are aware of 2 parishes who have progressed to having formal assessments of land for renewable energy schemes for the benefit of the community to be carried out, helped by the exploration of this working group. Proper education into the pros and cons of developments and their potential for community enhancement, and the facilitation of solar panels on housing and farming buildings has not been given sufficient consideration and support in our view. </w:t>
      </w:r>
    </w:p>
    <w:p w:rsidR="00000000" w:rsidDel="00000000" w:rsidP="00000000" w:rsidRDefault="00000000" w:rsidRPr="00000000" w14:paraId="00000055">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56">
      <w:pPr>
        <w:numPr>
          <w:ilvl w:val="0"/>
          <w:numId w:val="3"/>
        </w:numPr>
        <w:shd w:fill="ffffff" w:val="clear"/>
        <w:spacing w:line="254.40054545454552"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We note that the Clutton renewable energy project has had success in wildflower growth around solar panels and in their proactive use of bat boxes and nesting boxes which have increased biodiversity from previously poor quality agricultural land. We would like to have more evidence of the pros and cons of solar panels and wind farms in terms of biodiversity loss and gain, and to understand more about good practice in this regard. Whilst we value to the webinars that have been offered thus far they have largely been ‘preaching to the converted’ and we would encourage the planning department going forward to support hybrid meetings (face to face and online) to help local people understand the potential positive and negative impacts of different developments and, in particular to see how permitting community benefit projects may be more advantageous than simply considering business approaches.</w:t>
      </w:r>
    </w:p>
    <w:p w:rsidR="00000000" w:rsidDel="00000000" w:rsidP="00000000" w:rsidRDefault="00000000" w:rsidRPr="00000000" w14:paraId="00000057">
      <w:pPr>
        <w:spacing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rFonts w:ascii="Verdana" w:cs="Verdana" w:eastAsia="Verdana" w:hAnsi="Verdana"/>
          <w:color w:val="222222"/>
          <w:highlight w:val="white"/>
        </w:rPr>
      </w:pPr>
      <w:r w:rsidDel="00000000" w:rsidR="00000000" w:rsidRPr="00000000">
        <w:rPr>
          <w:rFonts w:ascii="Verdana" w:cs="Verdana" w:eastAsia="Verdana" w:hAnsi="Verdana"/>
          <w:rtl w:val="0"/>
        </w:rPr>
        <w:t xml:space="preserve">Ancient woodland, ancient trees and ancient hedgerows/grassland definitions are provided through Natural England within the glossary of the LPPU.  This is helpful but more detail on mapping these in rural areas might demonstrate more effectively how to preserve these through the planning process.</w:t>
      </w:r>
    </w:p>
    <w:p w:rsidR="00000000" w:rsidDel="00000000" w:rsidP="00000000" w:rsidRDefault="00000000" w:rsidRPr="00000000" w14:paraId="00000059">
      <w:pPr>
        <w:numPr>
          <w:ilvl w:val="0"/>
          <w:numId w:val="3"/>
        </w:numPr>
        <w:shd w:fill="ffffff" w:val="clear"/>
        <w:spacing w:line="254.40054545454552" w:lineRule="auto"/>
        <w:ind w:left="720" w:hanging="360"/>
        <w:rPr>
          <w:rFonts w:ascii="Verdana" w:cs="Verdana" w:eastAsia="Verdana" w:hAnsi="Verdana"/>
          <w:color w:val="222222"/>
          <w:highlight w:val="white"/>
          <w:u w:val="none"/>
        </w:rPr>
      </w:pPr>
      <w:r w:rsidDel="00000000" w:rsidR="00000000" w:rsidRPr="00000000">
        <w:rPr>
          <w:rtl w:val="0"/>
        </w:rPr>
      </w:r>
    </w:p>
    <w:p w:rsidR="00000000" w:rsidDel="00000000" w:rsidP="00000000" w:rsidRDefault="00000000" w:rsidRPr="00000000" w14:paraId="0000005A">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rPr>
          <w:rFonts w:ascii="Verdana" w:cs="Verdana" w:eastAsia="Verdana" w:hAnsi="Verdana"/>
          <w:b w:val="1"/>
        </w:rPr>
      </w:pPr>
      <w:r w:rsidDel="00000000" w:rsidR="00000000" w:rsidRPr="00000000">
        <w:rPr>
          <w:rFonts w:ascii="Verdana" w:cs="Verdana" w:eastAsia="Verdana" w:hAnsi="Verdana"/>
          <w:b w:val="1"/>
          <w:rtl w:val="0"/>
        </w:rPr>
        <w:t xml:space="preserve">Sustainable Transport: </w:t>
      </w:r>
    </w:p>
    <w:p w:rsidR="00000000" w:rsidDel="00000000" w:rsidP="00000000" w:rsidRDefault="00000000" w:rsidRPr="00000000" w14:paraId="0000005D">
      <w:pPr>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the Supplementary Planning Document promotes a modal shift to public transport, low emissions vehicles and cycling and walking. Whilst infrastructural changes in cities can make significant inroads in this insufficient attention appears to have been given to the particular challenges of rural areas despite the fact that over 90% of the District’s land area is rural, with 47 rural parishes. – almost a third of the District lies within the Cotswolds and Mendip Hills AONBs and smaller settlements are located in the Chew Valley to the west of the District. </w:t>
      </w:r>
    </w:p>
    <w:p w:rsidR="00000000" w:rsidDel="00000000" w:rsidP="00000000" w:rsidRDefault="00000000" w:rsidRPr="00000000" w14:paraId="00000060">
      <w:pPr>
        <w:spacing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1">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note that the Chew Valley is recognised as a destination for leisure and recreation and whilst this is true we would see this as a city-centric view. The Chew Valley is also the place where rural communities live and work, and a place from which rural communities wish to connect to cities for work and leisure.</w:t>
      </w:r>
    </w:p>
    <w:p w:rsidR="00000000" w:rsidDel="00000000" w:rsidP="00000000" w:rsidRDefault="00000000" w:rsidRPr="00000000" w14:paraId="00000062">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63">
      <w:pPr>
        <w:spacing w:line="240"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4">
      <w:pPr>
        <w:numPr>
          <w:ilvl w:val="0"/>
          <w:numId w:val="4"/>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welcome the council’s intention to embed the ‘principles of liveable neighbourhoods’ and would ask that this be considered as also relevant to rural areas. This may be particularly true when negotiating rush hour ‘rat runs’ through some of our villages and when seeking to encourage active travel on school runs. The lack of walking pathways, or sufficiently wide pavements in some villages are not easily remedied without changing the character of a village into a more urban environment, this means consideration of one way schemes, school run closures to allow walking lines and safer cycling need to be given serious consideration, as does the development of a network of off-road footpaths to enable children to walk to school and parishioners to walk to key local amenities (shop, pub, church) rather than driving. At present villages are as car-centric as at least in part because of inadequate public transport links.</w:t>
      </w:r>
    </w:p>
    <w:p w:rsidR="00000000" w:rsidDel="00000000" w:rsidP="00000000" w:rsidRDefault="00000000" w:rsidRPr="00000000" w14:paraId="00000065">
      <w:pPr>
        <w:spacing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The lack of rural bus service connectivity, and local roads that are too narrow, with poor sightlines and few pavements make it very difficult for people living in rural areas to move to lower carbon options and active travel. If there is to be a step change in </w:t>
      </w:r>
      <w:r w:rsidDel="00000000" w:rsidR="00000000" w:rsidRPr="00000000">
        <w:rPr>
          <w:rFonts w:ascii="Verdana" w:cs="Verdana" w:eastAsia="Verdana" w:hAnsi="Verdana"/>
          <w:i w:val="1"/>
          <w:rtl w:val="0"/>
        </w:rPr>
        <w:t xml:space="preserve">behaviour</w:t>
      </w:r>
      <w:r w:rsidDel="00000000" w:rsidR="00000000" w:rsidRPr="00000000">
        <w:rPr>
          <w:rFonts w:ascii="Verdana" w:cs="Verdana" w:eastAsia="Verdana" w:hAnsi="Verdana"/>
          <w:rtl w:val="0"/>
        </w:rPr>
        <w:t xml:space="preserve"> there needs to be a step change </w:t>
      </w:r>
      <w:r w:rsidDel="00000000" w:rsidR="00000000" w:rsidRPr="00000000">
        <w:rPr>
          <w:rFonts w:ascii="Verdana" w:cs="Verdana" w:eastAsia="Verdana" w:hAnsi="Verdana"/>
          <w:i w:val="1"/>
          <w:rtl w:val="0"/>
        </w:rPr>
        <w:t xml:space="preserve">of provision</w:t>
      </w:r>
      <w:r w:rsidDel="00000000" w:rsidR="00000000" w:rsidRPr="00000000">
        <w:rPr>
          <w:rFonts w:ascii="Verdana" w:cs="Verdana" w:eastAsia="Verdana" w:hAnsi="Verdana"/>
          <w:rtl w:val="0"/>
        </w:rPr>
        <w:t xml:space="preserve">: in particular our ‘Have Your Say’ survey, carried out by this group, which engaged 410 households across the Chew Valley, shows that shuttle buses to link communities in the Chew Valley to each other and to main arterial routes, and separate joined up cycle routes with provision for bike parking by bus stops, could bring about a step change in behaviour.</w:t>
      </w:r>
    </w:p>
    <w:p w:rsidR="00000000" w:rsidDel="00000000" w:rsidP="00000000" w:rsidRDefault="00000000" w:rsidRPr="00000000" w14:paraId="00000067">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8">
      <w:pPr>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In our view WECA needs to consider incentivising a switch to electric vehicle use. Our cross valley ‘Have Your Say’ survey showed that only 3% of the 410 households completing the survey were using electric vehicles at the present time and that people would want financial incentives to switch and the provision of rapid charging points in villages across the Valley. Part of what could be considered is the provision for infrastructure for retrofitting existing houses with electric charging: failure to retrofit existing properties  is likely to discourage electric car uptake, particularly in rural areas where there are no local charging points available within a convenient radius (ie. not a ten mile walk from the house).</w:t>
      </w: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69">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6A">
      <w:pPr>
        <w:numPr>
          <w:ilvl w:val="0"/>
          <w:numId w:val="4"/>
        </w:numPr>
        <w:ind w:left="720" w:hanging="36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Many houses in the villages in the Chew Valley were built before cars (let alone before they were in common use) so they don’t have parking spaces attached to properties which would enable electric vehicle charging to happen at home. Many villages have small amounts of parking next to village halls or central spaces (by pubs, churches, schools, shops, playing fields or common land) that would lend itself to being community space for rapid charging points for electric vehicles and/or hubs for electric car clubs. This could also encourage more walking to school if they became drop off points for those coming to village schools from outside the village itself. However it is difficult for a Parish Council to make this happen and an injection of expertise and funding to help local people set up cooperatives to manage such initiatives across a rural area would be useful.</w:t>
      </w:r>
    </w:p>
    <w:p w:rsidR="00000000" w:rsidDel="00000000" w:rsidP="00000000" w:rsidRDefault="00000000" w:rsidRPr="00000000" w14:paraId="0000006B">
      <w:pPr>
        <w:ind w:left="720" w:firstLine="0"/>
        <w:rPr>
          <w:rFonts w:ascii="Verdana" w:cs="Verdana" w:eastAsia="Verdana" w:hAnsi="Verdana"/>
          <w:color w:val="222222"/>
          <w:highlight w:val="white"/>
        </w:rPr>
      </w:pPr>
      <w:r w:rsidDel="00000000" w:rsidR="00000000" w:rsidRPr="00000000">
        <w:rPr>
          <w:rtl w:val="0"/>
        </w:rPr>
      </w:r>
    </w:p>
    <w:p w:rsidR="00000000" w:rsidDel="00000000" w:rsidP="00000000" w:rsidRDefault="00000000" w:rsidRPr="00000000" w14:paraId="0000006C">
      <w:pPr>
        <w:numPr>
          <w:ilvl w:val="0"/>
          <w:numId w:val="4"/>
        </w:numPr>
        <w:ind w:left="720" w:hanging="360"/>
        <w:rPr>
          <w:rFonts w:ascii="Verdana" w:cs="Verdana" w:eastAsia="Verdana" w:hAnsi="Verdana"/>
          <w:color w:val="222222"/>
          <w:highlight w:val="white"/>
        </w:rPr>
      </w:pPr>
      <w:r w:rsidDel="00000000" w:rsidR="00000000" w:rsidRPr="00000000">
        <w:rPr>
          <w:rFonts w:ascii="Verdana" w:cs="Verdana" w:eastAsia="Verdana" w:hAnsi="Verdana"/>
          <w:rtl w:val="0"/>
        </w:rPr>
        <w:t xml:space="preserve">We note that parking space requirements on new dwellings are reduced. Whilst we can understand the logic of this (to nudge people towards active travel and public transport) the reality is that at present this provision is not in place (either for connected up public transport or for safe cycling and walking). It might make more sense if communities were encouraged to make use of centrally sited land for parking with electric vehicle charging points, for community vehicles or car share schemes.</w:t>
      </w:r>
    </w:p>
    <w:p w:rsidR="00000000" w:rsidDel="00000000" w:rsidP="00000000" w:rsidRDefault="00000000" w:rsidRPr="00000000" w14:paraId="0000006D">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6E">
      <w:pPr>
        <w:ind w:left="0" w:firstLine="0"/>
        <w:rPr>
          <w:rFonts w:ascii="Verdana" w:cs="Verdana" w:eastAsia="Verdana" w:hAnsi="Verdana"/>
          <w:b w:val="1"/>
        </w:rPr>
      </w:pPr>
      <w:r w:rsidDel="00000000" w:rsidR="00000000" w:rsidRPr="00000000">
        <w:rPr>
          <w:rFonts w:ascii="Verdana" w:cs="Verdana" w:eastAsia="Verdana" w:hAnsi="Verdana"/>
          <w:b w:val="1"/>
          <w:rtl w:val="0"/>
        </w:rPr>
        <w:t xml:space="preserve">Some more specific points from the Supplementary Planning Document</w:t>
      </w:r>
    </w:p>
    <w:p w:rsidR="00000000" w:rsidDel="00000000" w:rsidP="00000000" w:rsidRDefault="00000000" w:rsidRPr="00000000" w14:paraId="0000006F">
      <w:pPr>
        <w:ind w:left="0" w:firstLine="0"/>
        <w:rPr>
          <w:rFonts w:ascii="Verdana" w:cs="Verdana" w:eastAsia="Verdana" w:hAnsi="Verdana"/>
          <w:b w:val="1"/>
        </w:rPr>
      </w:pPr>
      <w:r w:rsidDel="00000000" w:rsidR="00000000" w:rsidRPr="00000000">
        <w:rPr>
          <w:rFonts w:ascii="Verdana" w:cs="Verdana" w:eastAsia="Verdana" w:hAnsi="Verdana"/>
          <w:b w:val="1"/>
          <w:rtl w:val="0"/>
        </w:rPr>
        <w:t xml:space="preserve">Walking &amp; Cycling</w:t>
      </w:r>
    </w:p>
    <w:p w:rsidR="00000000" w:rsidDel="00000000" w:rsidP="00000000" w:rsidRDefault="00000000" w:rsidRPr="00000000" w14:paraId="00000070">
      <w:pPr>
        <w:rPr>
          <w:rFonts w:ascii="Verdana" w:cs="Verdana" w:eastAsia="Verdana" w:hAnsi="Verdana"/>
        </w:rPr>
      </w:pPr>
      <w:r w:rsidDel="00000000" w:rsidR="00000000" w:rsidRPr="00000000">
        <w:rPr>
          <w:rFonts w:ascii="Verdana" w:cs="Verdana" w:eastAsia="Verdana" w:hAnsi="Verdana"/>
          <w:rtl w:val="0"/>
        </w:rPr>
        <w:t xml:space="preserve">Para 3.3.3 identified some “flagship strategic routes” these were all Bath centric.</w:t>
      </w:r>
    </w:p>
    <w:p w:rsidR="00000000" w:rsidDel="00000000" w:rsidP="00000000" w:rsidRDefault="00000000" w:rsidRPr="00000000" w14:paraId="00000071">
      <w:pPr>
        <w:rPr>
          <w:rFonts w:ascii="Verdana" w:cs="Verdana" w:eastAsia="Verdana" w:hAnsi="Verdana"/>
        </w:rPr>
      </w:pPr>
      <w:r w:rsidDel="00000000" w:rsidR="00000000" w:rsidRPr="00000000">
        <w:rPr>
          <w:rFonts w:ascii="Verdana" w:cs="Verdana" w:eastAsia="Verdana" w:hAnsi="Verdana"/>
          <w:rtl w:val="0"/>
        </w:rPr>
        <w:t xml:space="preserve">Para 3.3.4 detailed some findings from the TravelWest Travel to Work Survey 2020 reported that 53% of respondents travelled to work by car. Within out Have your Say Survey this is a much larger % for the Chew Valley as this graph shows:</w:t>
      </w:r>
    </w:p>
    <w:p w:rsidR="00000000" w:rsidDel="00000000" w:rsidP="00000000" w:rsidRDefault="00000000" w:rsidRPr="00000000" w14:paraId="00000072">
      <w:pPr>
        <w:rPr>
          <w:rFonts w:ascii="Verdana" w:cs="Verdana" w:eastAsia="Verdana" w:hAnsi="Verdana"/>
        </w:rPr>
      </w:pPr>
      <w:r w:rsidDel="00000000" w:rsidR="00000000" w:rsidRPr="00000000">
        <w:rPr>
          <w:rtl w:val="0"/>
        </w:rPr>
      </w:r>
    </w:p>
    <w:p w:rsidR="00000000" w:rsidDel="00000000" w:rsidP="00000000" w:rsidRDefault="00000000" w:rsidRPr="00000000" w14:paraId="00000073">
      <w:pPr>
        <w:ind w:left="-90" w:right="-90" w:firstLine="0"/>
        <w:jc w:val="center"/>
        <w:rPr>
          <w:rFonts w:ascii="Verdana" w:cs="Verdana" w:eastAsia="Verdana" w:hAnsi="Verdana"/>
        </w:rPr>
      </w:pPr>
      <w:r w:rsidDel="00000000" w:rsidR="00000000" w:rsidRPr="00000000">
        <w:rPr/>
        <w:drawing>
          <wp:inline distB="114300" distT="114300" distL="114300" distR="114300">
            <wp:extent cx="5391150" cy="2771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rFonts w:ascii="Verdana" w:cs="Verdana" w:eastAsia="Verdana" w:hAnsi="Verdana"/>
        </w:rPr>
      </w:pPr>
      <w:r w:rsidDel="00000000" w:rsidR="00000000" w:rsidRPr="00000000">
        <w:rPr>
          <w:rtl w:val="0"/>
        </w:rPr>
      </w:r>
    </w:p>
    <w:p w:rsidR="00000000" w:rsidDel="00000000" w:rsidP="00000000" w:rsidRDefault="00000000" w:rsidRPr="00000000" w14:paraId="00000075">
      <w:pPr>
        <w:rPr>
          <w:rFonts w:ascii="Verdana" w:cs="Verdana" w:eastAsia="Verdana" w:hAnsi="Verdana"/>
        </w:rPr>
      </w:pPr>
      <w:r w:rsidDel="00000000" w:rsidR="00000000" w:rsidRPr="00000000">
        <w:rPr>
          <w:rFonts w:ascii="Verdana" w:cs="Verdana" w:eastAsia="Verdana" w:hAnsi="Verdana"/>
          <w:rtl w:val="0"/>
        </w:rPr>
        <w:t xml:space="preserve">Para 3.3.5 stated that in rural areas 50% to 60% of pupil journeys to school were made by active travel. 6th form pupil travel to Chew Valley School is very much lower, with only 22% of those surveyed travelling to school by bus. This is a very different demographic trend to that found in urban areas or even in the parts of Somer Valley where there is more available public transport.</w:t>
      </w:r>
    </w:p>
    <w:p w:rsidR="00000000" w:rsidDel="00000000" w:rsidP="00000000" w:rsidRDefault="00000000" w:rsidRPr="00000000" w14:paraId="00000076">
      <w:pPr>
        <w:rPr>
          <w:rFonts w:ascii="Verdana" w:cs="Verdana" w:eastAsia="Verdana" w:hAnsi="Verdana"/>
        </w:rPr>
      </w:pPr>
      <w:r w:rsidDel="00000000" w:rsidR="00000000" w:rsidRPr="00000000">
        <w:rPr>
          <w:rFonts w:ascii="Verdana" w:cs="Verdana" w:eastAsia="Verdana" w:hAnsi="Verdana"/>
          <w:rtl w:val="0"/>
        </w:rPr>
        <w:t xml:space="preserve">Para 3.4 Looks at issues and opportunities, but does not include “lack of provision” as an issue.</w:t>
      </w:r>
    </w:p>
    <w:p w:rsidR="00000000" w:rsidDel="00000000" w:rsidP="00000000" w:rsidRDefault="00000000" w:rsidRPr="00000000" w14:paraId="00000077">
      <w:pPr>
        <w:rPr>
          <w:rFonts w:ascii="Verdana" w:cs="Verdana" w:eastAsia="Verdana" w:hAnsi="Verdana"/>
        </w:rPr>
      </w:pPr>
      <w:r w:rsidDel="00000000" w:rsidR="00000000" w:rsidRPr="00000000">
        <w:rPr>
          <w:rFonts w:ascii="Verdana" w:cs="Verdana" w:eastAsia="Verdana" w:hAnsi="Verdana"/>
          <w:rtl w:val="0"/>
        </w:rPr>
        <w:t xml:space="preserve">Para 3.7.12 Policy ST7 Policy D8 is concerned with planning safe routes and says “lighting should be provided in dark or unlit areas. While we must recognise that while safety for users is paramount it should be balanced with sympathetic consideration for habitats and dark skies.</w:t>
      </w:r>
    </w:p>
    <w:p w:rsidR="00000000" w:rsidDel="00000000" w:rsidP="00000000" w:rsidRDefault="00000000" w:rsidRPr="00000000" w14:paraId="00000078">
      <w:pPr>
        <w:rPr>
          <w:rFonts w:ascii="Verdana" w:cs="Verdana" w:eastAsia="Verdana" w:hAnsi="Verdana"/>
        </w:rPr>
      </w:pPr>
      <w:r w:rsidDel="00000000" w:rsidR="00000000" w:rsidRPr="00000000">
        <w:rPr>
          <w:rFonts w:ascii="Verdana" w:cs="Verdana" w:eastAsia="Verdana" w:hAnsi="Verdana"/>
          <w:rtl w:val="0"/>
        </w:rPr>
        <w:t xml:space="preserve">Para 3.9.1 States “The promotion and delivery of quality cycling infrastructure is a key mechanism in enabling active travel growth. Reinforcement of this statement is provided within LTN 1/20, (Local Transport Note) which states that “we will need to see significant increases in cycling in our cities and towns, </w:t>
      </w:r>
      <w:r w:rsidDel="00000000" w:rsidR="00000000" w:rsidRPr="00000000">
        <w:rPr>
          <w:rFonts w:ascii="Verdana" w:cs="Verdana" w:eastAsia="Verdana" w:hAnsi="Verdana"/>
          <w:i w:val="1"/>
          <w:rtl w:val="0"/>
        </w:rPr>
        <w:t xml:space="preserve">and everywhere else</w:t>
      </w:r>
      <w:r w:rsidDel="00000000" w:rsidR="00000000" w:rsidRPr="00000000">
        <w:rPr>
          <w:rFonts w:ascii="Verdana" w:cs="Verdana" w:eastAsia="Verdana" w:hAnsi="Verdana"/>
          <w:rtl w:val="0"/>
        </w:rPr>
        <w:t xml:space="preserve">. To achieve that, the quality of cycling infrastructure must sharply improve, with the inclusion of properly-protected bike lanes, cycle-safe junctions and interventions for low traffic streets to encourage people to cycle.” This seems to be more city-centric, given the examples given and to achieve this in rural areas requires significant infrastructural change.</w:t>
      </w:r>
    </w:p>
    <w:p w:rsidR="00000000" w:rsidDel="00000000" w:rsidP="00000000" w:rsidRDefault="00000000" w:rsidRPr="00000000" w14:paraId="00000079">
      <w:pPr>
        <w:rPr>
          <w:rFonts w:ascii="Verdana" w:cs="Verdana" w:eastAsia="Verdana" w:hAnsi="Verdana"/>
        </w:rPr>
      </w:pPr>
      <w:r w:rsidDel="00000000" w:rsidR="00000000" w:rsidRPr="00000000">
        <w:rPr>
          <w:rFonts w:ascii="Verdana" w:cs="Verdana" w:eastAsia="Verdana" w:hAnsi="Verdana"/>
          <w:rtl w:val="0"/>
        </w:rPr>
        <w:t xml:space="preserve">Para 3.9.3 acknowledges that much of B&amp;NES is rural where there are varying speed limits and adds this as another thing to be considered by developers.</w:t>
      </w:r>
    </w:p>
    <w:p w:rsidR="00000000" w:rsidDel="00000000" w:rsidP="00000000" w:rsidRDefault="00000000" w:rsidRPr="00000000" w14:paraId="0000007A">
      <w:pPr>
        <w:rPr>
          <w:rFonts w:ascii="Verdana" w:cs="Verdana" w:eastAsia="Verdana" w:hAnsi="Verdana"/>
        </w:rPr>
      </w:pPr>
      <w:r w:rsidDel="00000000" w:rsidR="00000000" w:rsidRPr="00000000">
        <w:rPr>
          <w:rFonts w:ascii="Verdana" w:cs="Verdana" w:eastAsia="Verdana" w:hAnsi="Verdana"/>
          <w:rtl w:val="0"/>
        </w:rPr>
        <w:t xml:space="preserve">Para 3.9.8 with reference to LT1/20, states that modal interchange points for cycling to other forms of transport should have secure parking but it is not clear how this will be achieved in rural areas.</w:t>
      </w:r>
    </w:p>
    <w:p w:rsidR="00000000" w:rsidDel="00000000" w:rsidP="00000000" w:rsidRDefault="00000000" w:rsidRPr="00000000" w14:paraId="0000007B">
      <w:pPr>
        <w:rPr>
          <w:rFonts w:ascii="Verdana" w:cs="Verdana" w:eastAsia="Verdana" w:hAnsi="Verdana"/>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rPr>
      </w:pPr>
      <w:r w:rsidDel="00000000" w:rsidR="00000000" w:rsidRPr="00000000">
        <w:rPr>
          <w:rFonts w:ascii="Verdana" w:cs="Verdana" w:eastAsia="Verdana" w:hAnsi="Verdana"/>
          <w:b w:val="1"/>
          <w:rtl w:val="0"/>
        </w:rPr>
        <w:t xml:space="preserve">Parking Standards</w:t>
      </w:r>
    </w:p>
    <w:p w:rsidR="00000000" w:rsidDel="00000000" w:rsidP="00000000" w:rsidRDefault="00000000" w:rsidRPr="00000000" w14:paraId="0000007D">
      <w:pPr>
        <w:rPr>
          <w:rFonts w:ascii="Verdana" w:cs="Verdana" w:eastAsia="Verdana" w:hAnsi="Verdana"/>
        </w:rPr>
      </w:pPr>
      <w:r w:rsidDel="00000000" w:rsidR="00000000" w:rsidRPr="00000000">
        <w:rPr>
          <w:rFonts w:ascii="Verdana" w:cs="Verdana" w:eastAsia="Verdana" w:hAnsi="Verdana"/>
          <w:rtl w:val="0"/>
        </w:rPr>
        <w:t xml:space="preserve">Para 4.2.7 notes that “most rural areas are typically only served by relatively limited and infrequent public transport provisions.” </w:t>
      </w:r>
    </w:p>
    <w:p w:rsidR="00000000" w:rsidDel="00000000" w:rsidP="00000000" w:rsidRDefault="00000000" w:rsidRPr="00000000" w14:paraId="0000007E">
      <w:pPr>
        <w:rPr>
          <w:rFonts w:ascii="Verdana" w:cs="Verdana" w:eastAsia="Verdana" w:hAnsi="Verdana"/>
        </w:rPr>
      </w:pPr>
      <w:r w:rsidDel="00000000" w:rsidR="00000000" w:rsidRPr="00000000">
        <w:rPr>
          <w:rFonts w:ascii="Verdana" w:cs="Verdana" w:eastAsia="Verdana" w:hAnsi="Verdana"/>
          <w:rtl w:val="0"/>
        </w:rPr>
        <w:t xml:space="preserve">Section 4.5 Defines Parking Standard Zones. Rural areas are Zone D with the following characteristics, “small villages or scattered individual buildings. Very few local facilities are available within walking or cycling distance, and often no local facilities within walking distance. There is a high level of reliance on private car ownership. Motorised travel is therefore required for most journeys. Public transport services are infrequent or beyond reasonable walking distance. There is no shortage of land for parking provision, but the adjacent highway system offers limited</w:t>
      </w:r>
    </w:p>
    <w:p w:rsidR="00000000" w:rsidDel="00000000" w:rsidP="00000000" w:rsidRDefault="00000000" w:rsidRPr="00000000" w14:paraId="0000007F">
      <w:pPr>
        <w:rPr>
          <w:rFonts w:ascii="Verdana" w:cs="Verdana" w:eastAsia="Verdana" w:hAnsi="Verdana"/>
        </w:rPr>
      </w:pPr>
      <w:r w:rsidDel="00000000" w:rsidR="00000000" w:rsidRPr="00000000">
        <w:rPr>
          <w:rFonts w:ascii="Verdana" w:cs="Verdana" w:eastAsia="Verdana" w:hAnsi="Verdana"/>
          <w:rtl w:val="0"/>
        </w:rPr>
        <w:t xml:space="preserve">opportunities to park cars due to the highway conditions.” and these features are accepted as if nothing can change.</w:t>
      </w:r>
    </w:p>
    <w:p w:rsidR="00000000" w:rsidDel="00000000" w:rsidP="00000000" w:rsidRDefault="00000000" w:rsidRPr="00000000" w14:paraId="00000080">
      <w:pPr>
        <w:rPr>
          <w:rFonts w:ascii="Verdana" w:cs="Verdana" w:eastAsia="Verdana" w:hAnsi="Verdana"/>
        </w:rPr>
      </w:pPr>
      <w:r w:rsidDel="00000000" w:rsidR="00000000" w:rsidRPr="00000000">
        <w:rPr>
          <w:rtl w:val="0"/>
        </w:rPr>
      </w:r>
    </w:p>
    <w:p w:rsidR="00000000" w:rsidDel="00000000" w:rsidP="00000000" w:rsidRDefault="00000000" w:rsidRPr="00000000" w14:paraId="00000081">
      <w:pPr>
        <w:rPr>
          <w:rFonts w:ascii="Verdana" w:cs="Verdana" w:eastAsia="Verdana" w:hAnsi="Verdana"/>
        </w:rPr>
      </w:pPr>
      <w:r w:rsidDel="00000000" w:rsidR="00000000" w:rsidRPr="00000000">
        <w:rPr>
          <w:rFonts w:ascii="Verdana" w:cs="Verdana" w:eastAsia="Verdana" w:hAnsi="Verdana"/>
          <w:rtl w:val="0"/>
        </w:rPr>
        <w:t xml:space="preserve">Section 4.3 Defines the Parking Policy Objectives as “ creating better places, supports Climate Emergency commitments by enabling low carbon mobility, improving health and wellbeing and reduces the impact of vehicle usage and storage on our built and natural environment, whilst helping to address inequalities in the district. However, it doesn't propose what planning infrastructure could support change.</w:t>
      </w:r>
    </w:p>
    <w:p w:rsidR="00000000" w:rsidDel="00000000" w:rsidP="00000000" w:rsidRDefault="00000000" w:rsidRPr="00000000" w14:paraId="00000082">
      <w:pPr>
        <w:rPr>
          <w:rFonts w:ascii="Verdana" w:cs="Verdana" w:eastAsia="Verdana" w:hAnsi="Verdana"/>
        </w:rPr>
      </w:pPr>
      <w:r w:rsidDel="00000000" w:rsidR="00000000" w:rsidRPr="00000000">
        <w:rPr>
          <w:rFonts w:ascii="Verdana" w:cs="Verdana" w:eastAsia="Verdana" w:hAnsi="Verdana"/>
          <w:rtl w:val="0"/>
        </w:rPr>
        <w:t xml:space="preserve">Table 4.7 Shows that Chew Valley South has the equal highest level in B&amp;NES of use of the private car as the predominant mode of transport. Chew Valley North is in the top 5.</w:t>
      </w:r>
    </w:p>
    <w:p w:rsidR="00000000" w:rsidDel="00000000" w:rsidP="00000000" w:rsidRDefault="00000000" w:rsidRPr="00000000" w14:paraId="00000083">
      <w:pPr>
        <w:rPr>
          <w:rFonts w:ascii="Verdana" w:cs="Verdana" w:eastAsia="Verdana" w:hAnsi="Verdana"/>
        </w:rPr>
      </w:pPr>
      <w:r w:rsidDel="00000000" w:rsidR="00000000" w:rsidRPr="00000000">
        <w:rPr>
          <w:rFonts w:ascii="Verdana" w:cs="Verdana" w:eastAsia="Verdana" w:hAnsi="Verdana"/>
          <w:rtl w:val="0"/>
        </w:rPr>
        <w:t xml:space="preserve">Paras 4.7.3 to 4.7.10 defines Parking standards for Schools and School Streets. This would only impact on our area if a development of an existing school or a new school was constructed and there is no assistance to how existing streets could be improved if no development is planned (which is likely to be more common in Rural areas. </w:t>
      </w:r>
    </w:p>
    <w:p w:rsidR="00000000" w:rsidDel="00000000" w:rsidP="00000000" w:rsidRDefault="00000000" w:rsidRPr="00000000" w14:paraId="00000084">
      <w:pPr>
        <w:rPr>
          <w:rFonts w:ascii="Verdana" w:cs="Verdana" w:eastAsia="Verdana" w:hAnsi="Verdana"/>
        </w:rPr>
      </w:pPr>
      <w:r w:rsidDel="00000000" w:rsidR="00000000" w:rsidRPr="00000000">
        <w:rPr>
          <w:rtl w:val="0"/>
        </w:rPr>
      </w:r>
    </w:p>
    <w:p w:rsidR="00000000" w:rsidDel="00000000" w:rsidP="00000000" w:rsidRDefault="00000000" w:rsidRPr="00000000" w14:paraId="00000085">
      <w:pPr>
        <w:rPr>
          <w:rFonts w:ascii="Verdana" w:cs="Verdana" w:eastAsia="Verdana" w:hAnsi="Verdana"/>
          <w:b w:val="1"/>
        </w:rPr>
      </w:pPr>
      <w:r w:rsidDel="00000000" w:rsidR="00000000" w:rsidRPr="00000000">
        <w:rPr>
          <w:rFonts w:ascii="Verdana" w:cs="Verdana" w:eastAsia="Verdana" w:hAnsi="Verdana"/>
          <w:b w:val="1"/>
          <w:rtl w:val="0"/>
        </w:rPr>
        <w:t xml:space="preserve">Ultra-low emissions vehicles</w:t>
      </w:r>
    </w:p>
    <w:p w:rsidR="00000000" w:rsidDel="00000000" w:rsidP="00000000" w:rsidRDefault="00000000" w:rsidRPr="00000000" w14:paraId="00000086">
      <w:pPr>
        <w:rPr>
          <w:rFonts w:ascii="Verdana" w:cs="Verdana" w:eastAsia="Verdana" w:hAnsi="Verdana"/>
        </w:rPr>
      </w:pPr>
      <w:r w:rsidDel="00000000" w:rsidR="00000000" w:rsidRPr="00000000">
        <w:rPr>
          <w:rFonts w:ascii="Verdana" w:cs="Verdana" w:eastAsia="Verdana" w:hAnsi="Verdana"/>
          <w:rtl w:val="0"/>
        </w:rPr>
        <w:t xml:space="preserve">Para 5.3.2 States that provision of ULEV infrastructure must be seen in the context of wider objectives to reduce vehicle usage overall and is not intended to promote ULEV over other sustainable forms of transport such as walking, cycling or public transport. This would require improvements in public transport in the Chew Valley.</w:t>
      </w:r>
    </w:p>
    <w:p w:rsidR="00000000" w:rsidDel="00000000" w:rsidP="00000000" w:rsidRDefault="00000000" w:rsidRPr="00000000" w14:paraId="00000087">
      <w:pPr>
        <w:rPr>
          <w:rFonts w:ascii="Verdana" w:cs="Verdana" w:eastAsia="Verdana" w:hAnsi="Verdana"/>
        </w:rPr>
      </w:pPr>
      <w:r w:rsidDel="00000000" w:rsidR="00000000" w:rsidRPr="00000000">
        <w:rPr>
          <w:rtl w:val="0"/>
        </w:rPr>
      </w:r>
    </w:p>
    <w:p w:rsidR="00000000" w:rsidDel="00000000" w:rsidP="00000000" w:rsidRDefault="00000000" w:rsidRPr="00000000" w14:paraId="00000088">
      <w:pPr>
        <w:rPr>
          <w:rFonts w:ascii="Verdana" w:cs="Verdana" w:eastAsia="Verdana" w:hAnsi="Verdana"/>
        </w:rPr>
      </w:pPr>
      <w:r w:rsidDel="00000000" w:rsidR="00000000" w:rsidRPr="00000000">
        <w:rPr>
          <w:rFonts w:ascii="Verdana" w:cs="Verdana" w:eastAsia="Verdana" w:hAnsi="Verdana"/>
          <w:rtl w:val="0"/>
        </w:rPr>
        <w:t xml:space="preserve">Para 5.6.6 States a minimum 7 kW active and passive provision for both residential and non-residential buildings is required. Some early home installations are 3.6 kW charge points, however, today the majority of the installations are 7 kW and expected increases in battery sizes and technology developments could make charge points less than 7 kW obsolete for future car models</w:t>
      </w:r>
    </w:p>
    <w:p w:rsidR="00000000" w:rsidDel="00000000" w:rsidP="00000000" w:rsidRDefault="00000000" w:rsidRPr="00000000" w14:paraId="00000089">
      <w:pPr>
        <w:rPr>
          <w:rFonts w:ascii="Verdana" w:cs="Verdana" w:eastAsia="Verdana" w:hAnsi="Verdana"/>
        </w:rPr>
      </w:pPr>
      <w:r w:rsidDel="00000000" w:rsidR="00000000" w:rsidRPr="00000000">
        <w:rPr>
          <w:rFonts w:ascii="Verdana" w:cs="Verdana" w:eastAsia="Verdana" w:hAnsi="Verdana"/>
          <w:rtl w:val="0"/>
        </w:rPr>
        <w:t xml:space="preserve">Para 5.6.12 States that provision of ULEV infrastructure could put pressure on local supply capacities. However, unless the cost of providing the additional capacity is “prohibitively unreasonable additional cost for the development”.</w:t>
      </w:r>
    </w:p>
    <w:p w:rsidR="00000000" w:rsidDel="00000000" w:rsidP="00000000" w:rsidRDefault="00000000" w:rsidRPr="00000000" w14:paraId="0000008A">
      <w:pPr>
        <w:rPr>
          <w:rFonts w:ascii="Verdana" w:cs="Verdana" w:eastAsia="Verdana" w:hAnsi="Verdana"/>
        </w:rPr>
      </w:pPr>
      <w:r w:rsidDel="00000000" w:rsidR="00000000" w:rsidRPr="00000000">
        <w:rPr>
          <w:rFonts w:ascii="Verdana" w:cs="Verdana" w:eastAsia="Verdana" w:hAnsi="Verdana"/>
          <w:rtl w:val="0"/>
        </w:rPr>
        <w:t xml:space="preserve">Para 5.6.16 Supports the sharing of charging hubs between new developments which we would support.</w:t>
      </w:r>
    </w:p>
    <w:p w:rsidR="00000000" w:rsidDel="00000000" w:rsidP="00000000" w:rsidRDefault="00000000" w:rsidRPr="00000000" w14:paraId="0000008B">
      <w:pPr>
        <w:rPr>
          <w:rFonts w:ascii="Verdana" w:cs="Verdana" w:eastAsia="Verdana" w:hAnsi="Verdana"/>
        </w:rPr>
      </w:pPr>
      <w:r w:rsidDel="00000000" w:rsidR="00000000" w:rsidRPr="00000000">
        <w:rPr>
          <w:rFonts w:ascii="Verdana" w:cs="Verdana" w:eastAsia="Verdana" w:hAnsi="Verdana"/>
          <w:rtl w:val="0"/>
        </w:rPr>
        <w:t xml:space="preserve">Para 5.6.17 Recognises that electric car clubs provide an excellent accessible means to low emission transport, but goes on to state in Para 5.6.19 will be “generally located in urban or town centres”. We are uncertain how this conclusion has been reached</w:t>
      </w:r>
    </w:p>
    <w:p w:rsidR="00000000" w:rsidDel="00000000" w:rsidP="00000000" w:rsidRDefault="00000000" w:rsidRPr="00000000" w14:paraId="0000008C">
      <w:pPr>
        <w:rPr>
          <w:rFonts w:ascii="Verdana" w:cs="Verdana" w:eastAsia="Verdana" w:hAnsi="Verdana"/>
        </w:rPr>
      </w:pPr>
      <w:r w:rsidDel="00000000" w:rsidR="00000000" w:rsidRPr="00000000">
        <w:rPr>
          <w:rFonts w:ascii="Verdana" w:cs="Verdana" w:eastAsia="Verdana" w:hAnsi="Verdana"/>
          <w:rtl w:val="0"/>
        </w:rPr>
        <w:t xml:space="preserve">Para 5.6.21 States that ULEV charging infrastructure needs to be available at: Destination Parking, Residential Parking, Transit Locations, Workplaces, Taxi Ranks and Car Clubs. Clearly this is a huge shift to achieve in a rural area.</w:t>
      </w:r>
    </w:p>
    <w:p w:rsidR="00000000" w:rsidDel="00000000" w:rsidP="00000000" w:rsidRDefault="00000000" w:rsidRPr="00000000" w14:paraId="0000008D">
      <w:pPr>
        <w:rPr>
          <w:rFonts w:ascii="Verdana" w:cs="Verdana" w:eastAsia="Verdana" w:hAnsi="Verdana"/>
        </w:rPr>
      </w:pPr>
      <w:r w:rsidDel="00000000" w:rsidR="00000000" w:rsidRPr="00000000">
        <w:rPr>
          <w:rFonts w:ascii="Verdana" w:cs="Verdana" w:eastAsia="Verdana" w:hAnsi="Verdana"/>
          <w:rtl w:val="0"/>
        </w:rPr>
        <w:t xml:space="preserve">Para 5.6.32 States affordable homes will have to meet the same standards as other housing: we welcome this.</w:t>
      </w:r>
    </w:p>
    <w:p w:rsidR="00000000" w:rsidDel="00000000" w:rsidP="00000000" w:rsidRDefault="00000000" w:rsidRPr="00000000" w14:paraId="0000008E">
      <w:pPr>
        <w:rPr>
          <w:rFonts w:ascii="Verdana" w:cs="Verdana" w:eastAsia="Verdana" w:hAnsi="Verdana"/>
        </w:rPr>
      </w:pPr>
      <w:r w:rsidDel="00000000" w:rsidR="00000000" w:rsidRPr="00000000">
        <w:rPr>
          <w:rFonts w:ascii="Verdana" w:cs="Verdana" w:eastAsia="Verdana" w:hAnsi="Verdana"/>
          <w:rtl w:val="0"/>
        </w:rPr>
        <w:t xml:space="preserve">Para 5.9.3. States Non Residential Developments undergoing major changes will need to comply with ULEV Parking requirements. We welcome this.</w:t>
      </w:r>
    </w:p>
    <w:p w:rsidR="00000000" w:rsidDel="00000000" w:rsidP="00000000" w:rsidRDefault="00000000" w:rsidRPr="00000000" w14:paraId="0000008F">
      <w:pPr>
        <w:rPr>
          <w:rFonts w:ascii="Verdana" w:cs="Verdana" w:eastAsia="Verdana" w:hAnsi="Verdana"/>
        </w:rPr>
      </w:pPr>
      <w:r w:rsidDel="00000000" w:rsidR="00000000" w:rsidRPr="00000000">
        <w:rPr>
          <w:rtl w:val="0"/>
        </w:rPr>
      </w:r>
    </w:p>
    <w:p w:rsidR="00000000" w:rsidDel="00000000" w:rsidP="00000000" w:rsidRDefault="00000000" w:rsidRPr="00000000" w14:paraId="00000090">
      <w:pPr>
        <w:rPr>
          <w:rFonts w:ascii="Verdana" w:cs="Verdana" w:eastAsia="Verdana" w:hAnsi="Verdana"/>
          <w:b w:val="1"/>
        </w:rPr>
      </w:pPr>
      <w:r w:rsidDel="00000000" w:rsidR="00000000" w:rsidRPr="00000000">
        <w:rPr>
          <w:rFonts w:ascii="Verdana" w:cs="Verdana" w:eastAsia="Verdana" w:hAnsi="Verdana"/>
          <w:b w:val="1"/>
          <w:rtl w:val="0"/>
        </w:rPr>
        <w:t xml:space="preserve">Travel Plan Guildance</w:t>
      </w:r>
    </w:p>
    <w:p w:rsidR="00000000" w:rsidDel="00000000" w:rsidP="00000000" w:rsidRDefault="00000000" w:rsidRPr="00000000" w14:paraId="00000091">
      <w:pPr>
        <w:rPr>
          <w:rFonts w:ascii="Verdana" w:cs="Verdana" w:eastAsia="Verdana" w:hAnsi="Verdana"/>
        </w:rPr>
      </w:pPr>
      <w:r w:rsidDel="00000000" w:rsidR="00000000" w:rsidRPr="00000000">
        <w:rPr>
          <w:rFonts w:ascii="Verdana" w:cs="Verdana" w:eastAsia="Verdana" w:hAnsi="Verdana"/>
          <w:rtl w:val="0"/>
        </w:rPr>
        <w:t xml:space="preserve">Para 6.1.2, States that Travel Plans will apply to all significant developments: we are uncertain how you judge significance in a rural setting where smaller size is likely but impact could be great on the tranquility of an area.</w:t>
      </w:r>
    </w:p>
    <w:p w:rsidR="00000000" w:rsidDel="00000000" w:rsidP="00000000" w:rsidRDefault="00000000" w:rsidRPr="00000000" w14:paraId="00000092">
      <w:pPr>
        <w:rPr>
          <w:rFonts w:ascii="Verdana" w:cs="Verdana" w:eastAsia="Verdana" w:hAnsi="Verdana"/>
        </w:rPr>
      </w:pPr>
      <w:r w:rsidDel="00000000" w:rsidR="00000000" w:rsidRPr="00000000">
        <w:rPr>
          <w:rtl w:val="0"/>
        </w:rPr>
      </w:r>
    </w:p>
    <w:p w:rsidR="00000000" w:rsidDel="00000000" w:rsidP="00000000" w:rsidRDefault="00000000" w:rsidRPr="00000000" w14:paraId="00000093">
      <w:pPr>
        <w:rPr>
          <w:rFonts w:ascii="Verdana" w:cs="Verdana" w:eastAsia="Verdana" w:hAnsi="Verdana"/>
        </w:rPr>
      </w:pPr>
      <w:r w:rsidDel="00000000" w:rsidR="00000000" w:rsidRPr="00000000">
        <w:rPr>
          <w:rFonts w:ascii="Verdana" w:cs="Verdana" w:eastAsia="Verdana" w:hAnsi="Verdana"/>
          <w:rtl w:val="0"/>
        </w:rPr>
        <w:t xml:space="preserve">Para 6.7.1. states Travel Plans should define desired travel outcomes, and 6.7.2, states that there should be a costed action plan to show how those outcomes will be met. We welcome this.</w:t>
      </w:r>
    </w:p>
    <w:p w:rsidR="00000000" w:rsidDel="00000000" w:rsidP="00000000" w:rsidRDefault="00000000" w:rsidRPr="00000000" w14:paraId="00000094">
      <w:pPr>
        <w:rPr>
          <w:rFonts w:ascii="Verdana" w:cs="Verdana" w:eastAsia="Verdana" w:hAnsi="Verdana"/>
        </w:rPr>
      </w:pPr>
      <w:r w:rsidDel="00000000" w:rsidR="00000000" w:rsidRPr="00000000">
        <w:rPr>
          <w:rFonts w:ascii="Verdana" w:cs="Verdana" w:eastAsia="Verdana" w:hAnsi="Verdana"/>
          <w:rtl w:val="0"/>
        </w:rPr>
        <w:t xml:space="preserve">Para 6.7.13. States that the Travel Plan should also consider legacy planning to allow for continuation by voluntary bodies or community bodies on completion of the plan which seems sensible.</w:t>
      </w:r>
    </w:p>
    <w:p w:rsidR="00000000" w:rsidDel="00000000" w:rsidP="00000000" w:rsidRDefault="00000000" w:rsidRPr="00000000" w14:paraId="00000095">
      <w:pPr>
        <w:rPr>
          <w:rFonts w:ascii="Verdana" w:cs="Verdana" w:eastAsia="Verdana" w:hAnsi="Verdana"/>
        </w:rPr>
      </w:pPr>
      <w:r w:rsidDel="00000000" w:rsidR="00000000" w:rsidRPr="00000000">
        <w:rPr>
          <w:rFonts w:ascii="Verdana" w:cs="Verdana" w:eastAsia="Verdana" w:hAnsi="Verdana"/>
          <w:rtl w:val="0"/>
        </w:rPr>
        <w:t xml:space="preserve">Figure 6.2 on page 119 shows a flowchart for the Travel Plans process which we found useful.</w:t>
      </w:r>
    </w:p>
    <w:p w:rsidR="00000000" w:rsidDel="00000000" w:rsidP="00000000" w:rsidRDefault="00000000" w:rsidRPr="00000000" w14:paraId="00000096">
      <w:pPr>
        <w:rPr>
          <w:rFonts w:ascii="Verdana" w:cs="Verdana" w:eastAsia="Verdana" w:hAnsi="Verdana"/>
        </w:rPr>
      </w:pPr>
      <w:r w:rsidDel="00000000" w:rsidR="00000000" w:rsidRPr="00000000">
        <w:rPr>
          <w:rFonts w:ascii="Verdana" w:cs="Verdana" w:eastAsia="Verdana" w:hAnsi="Verdana"/>
          <w:rtl w:val="0"/>
        </w:rPr>
        <w:t xml:space="preserve">As a group we would be happy to discuss any of these points further and/or to assist in disseminating to the Chew Valley any actions which are likely to support our aim of reducing the carbon footprint of the Chew Valley specifically and B&amp;NES generally.</w:t>
      </w:r>
    </w:p>
    <w:p w:rsidR="00000000" w:rsidDel="00000000" w:rsidP="00000000" w:rsidRDefault="00000000" w:rsidRPr="00000000" w14:paraId="00000097">
      <w:pPr>
        <w:rPr>
          <w:rFonts w:ascii="Verdana" w:cs="Verdana" w:eastAsia="Verdana" w:hAnsi="Verdana"/>
        </w:rPr>
      </w:pPr>
      <w:r w:rsidDel="00000000" w:rsidR="00000000" w:rsidRPr="00000000">
        <w:rPr>
          <w:rtl w:val="0"/>
        </w:rPr>
      </w:r>
    </w:p>
    <w:p w:rsidR="00000000" w:rsidDel="00000000" w:rsidP="00000000" w:rsidRDefault="00000000" w:rsidRPr="00000000" w14:paraId="00000098">
      <w:pPr>
        <w:rPr>
          <w:rFonts w:ascii="Verdana" w:cs="Verdana" w:eastAsia="Verdana" w:hAnsi="Verdana"/>
        </w:rPr>
      </w:pPr>
      <w:r w:rsidDel="00000000" w:rsidR="00000000" w:rsidRPr="00000000">
        <w:rPr>
          <w:rFonts w:ascii="Verdana" w:cs="Verdana" w:eastAsia="Verdana" w:hAnsi="Verdana"/>
          <w:rtl w:val="0"/>
        </w:rPr>
        <w:t xml:space="preserve">We hope it is helpful to have collected here some initial thoughts and reflections in response to the Local Plan Partial Update and would reiterate our main plea to not forget the particular challenges facing rural communities, where stronger guidance in policy would assist local decision making.</w:t>
      </w:r>
    </w:p>
    <w:p w:rsidR="00000000" w:rsidDel="00000000" w:rsidP="00000000" w:rsidRDefault="00000000" w:rsidRPr="00000000" w14:paraId="00000099">
      <w:pPr>
        <w:rPr>
          <w:rFonts w:ascii="Verdana" w:cs="Verdana" w:eastAsia="Verdana" w:hAnsi="Verdana"/>
        </w:rPr>
      </w:pPr>
      <w:r w:rsidDel="00000000" w:rsidR="00000000" w:rsidRPr="00000000">
        <w:rPr>
          <w:rtl w:val="0"/>
        </w:rPr>
      </w:r>
    </w:p>
    <w:p w:rsidR="00000000" w:rsidDel="00000000" w:rsidP="00000000" w:rsidRDefault="00000000" w:rsidRPr="00000000" w14:paraId="0000009A">
      <w:pPr>
        <w:rPr>
          <w:rFonts w:ascii="Verdana" w:cs="Verdana" w:eastAsia="Verdana" w:hAnsi="Verdana"/>
        </w:rPr>
      </w:pPr>
      <w:r w:rsidDel="00000000" w:rsidR="00000000" w:rsidRPr="00000000">
        <w:rPr>
          <w:rFonts w:ascii="Verdana" w:cs="Verdana" w:eastAsia="Verdana" w:hAnsi="Verdana"/>
          <w:rtl w:val="0"/>
        </w:rPr>
        <w:t xml:space="preserve">Compiled by Jackie Head</w:t>
      </w:r>
    </w:p>
    <w:p w:rsidR="00000000" w:rsidDel="00000000" w:rsidP="00000000" w:rsidRDefault="00000000" w:rsidRPr="00000000" w14:paraId="0000009B">
      <w:pPr>
        <w:rPr>
          <w:rFonts w:ascii="Verdana" w:cs="Verdana" w:eastAsia="Verdana" w:hAnsi="Verdana"/>
        </w:rPr>
      </w:pPr>
      <w:r w:rsidDel="00000000" w:rsidR="00000000" w:rsidRPr="00000000">
        <w:rPr>
          <w:rFonts w:ascii="Verdana" w:cs="Verdana" w:eastAsia="Verdana" w:hAnsi="Verdana"/>
          <w:rtl w:val="0"/>
        </w:rPr>
        <w:t xml:space="preserve">From Contributions from the subgroups of</w:t>
      </w:r>
    </w:p>
    <w:p w:rsidR="00000000" w:rsidDel="00000000" w:rsidP="00000000" w:rsidRDefault="00000000" w:rsidRPr="00000000" w14:paraId="0000009C">
      <w:pPr>
        <w:rPr>
          <w:rFonts w:ascii="Verdana" w:cs="Verdana" w:eastAsia="Verdana" w:hAnsi="Verdana"/>
        </w:rPr>
      </w:pPr>
      <w:r w:rsidDel="00000000" w:rsidR="00000000" w:rsidRPr="00000000">
        <w:rPr>
          <w:rFonts w:ascii="Verdana" w:cs="Verdana" w:eastAsia="Verdana" w:hAnsi="Verdana"/>
          <w:rtl w:val="0"/>
        </w:rPr>
        <w:t xml:space="preserve">Chew Valley Area Forum Climate &amp; Nature Emergency Working Group</w:t>
      </w:r>
    </w:p>
    <w:p w:rsidR="00000000" w:rsidDel="00000000" w:rsidP="00000000" w:rsidRDefault="00000000" w:rsidRPr="00000000" w14:paraId="0000009D">
      <w:pPr>
        <w:rPr>
          <w:rFonts w:ascii="Verdana" w:cs="Verdana" w:eastAsia="Verdana" w:hAnsi="Verdana"/>
        </w:rPr>
      </w:pPr>
      <w:r w:rsidDel="00000000" w:rsidR="00000000" w:rsidRPr="00000000">
        <w:rPr>
          <w:rtl w:val="0"/>
        </w:rPr>
      </w:r>
    </w:p>
    <w:p w:rsidR="00000000" w:rsidDel="00000000" w:rsidP="00000000" w:rsidRDefault="00000000" w:rsidRPr="00000000" w14:paraId="0000009E">
      <w:pPr>
        <w:rPr>
          <w:rFonts w:ascii="Verdana" w:cs="Verdana" w:eastAsia="Verdana" w:hAnsi="Verdana"/>
        </w:rPr>
      </w:pPr>
      <w:r w:rsidDel="00000000" w:rsidR="00000000" w:rsidRPr="00000000">
        <w:rPr>
          <w:rtl w:val="0"/>
        </w:rPr>
      </w:r>
    </w:p>
    <w:p w:rsidR="00000000" w:rsidDel="00000000" w:rsidP="00000000" w:rsidRDefault="00000000" w:rsidRPr="00000000" w14:paraId="0000009F">
      <w:pPr>
        <w:rPr>
          <w:rFonts w:ascii="Verdana" w:cs="Verdana" w:eastAsia="Verdana" w:hAnsi="Verdana"/>
        </w:rPr>
      </w:pPr>
      <w:r w:rsidDel="00000000" w:rsidR="00000000" w:rsidRPr="00000000">
        <w:rPr>
          <w:rtl w:val="0"/>
        </w:rPr>
      </w:r>
    </w:p>
    <w:p w:rsidR="00000000" w:rsidDel="00000000" w:rsidP="00000000" w:rsidRDefault="00000000" w:rsidRPr="00000000" w14:paraId="000000A0">
      <w:pPr>
        <w:rPr>
          <w:rFonts w:ascii="Verdana" w:cs="Verdana" w:eastAsia="Verdana" w:hAnsi="Verdana"/>
        </w:rPr>
      </w:pPr>
      <w:r w:rsidDel="00000000" w:rsidR="00000000" w:rsidRPr="00000000">
        <w:rPr>
          <w:rtl w:val="0"/>
        </w:rPr>
      </w:r>
    </w:p>
    <w:p w:rsidR="00000000" w:rsidDel="00000000" w:rsidP="00000000" w:rsidRDefault="00000000" w:rsidRPr="00000000" w14:paraId="000000A1">
      <w:pPr>
        <w:rPr>
          <w:rFonts w:ascii="Verdana" w:cs="Verdana" w:eastAsia="Verdana" w:hAnsi="Verdana"/>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4A9B4-59D1-4BA1-BAE7-B2AAE599415F}"/>
</file>

<file path=customXml/itemProps2.xml><?xml version="1.0" encoding="utf-8"?>
<ds:datastoreItem xmlns:ds="http://schemas.openxmlformats.org/officeDocument/2006/customXml" ds:itemID="{AB01E6CA-0BE0-4367-A889-709C9E79FD0A}"/>
</file>